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 w:after="0" w:line="120" w:lineRule="exact"/>
        <w:rPr>
          <w:rFonts w:eastAsiaTheme="minorEastAsia"/>
          <w:sz w:val="12"/>
          <w:szCs w:val="12"/>
          <w:lang w:eastAsia="zh-CN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line="924" w:lineRule="exact"/>
        <w:ind w:right="-113"/>
        <w:jc w:val="center"/>
        <w:rPr>
          <w:rFonts w:ascii="黑体" w:hAnsi="黑体" w:eastAsia="黑体"/>
          <w:sz w:val="81"/>
        </w:rPr>
      </w:pPr>
      <w:r>
        <w:rPr>
          <w:rFonts w:ascii="黑体" w:hAnsi="黑体" w:eastAsia="黑体"/>
          <w:sz w:val="81"/>
        </w:rPr>
        <w:t>2018 年度部门决算</w:t>
      </w:r>
    </w:p>
    <w:p>
      <w:pPr>
        <w:spacing w:line="290" w:lineRule="exact"/>
        <w:rPr>
          <w:rFonts w:ascii="Times New Roman" w:hAnsi="Times New Roman" w:eastAsia="Times New Roman"/>
        </w:rPr>
      </w:pPr>
    </w:p>
    <w:p>
      <w:pPr>
        <w:spacing w:line="959" w:lineRule="exact"/>
        <w:ind w:right="-113"/>
        <w:jc w:val="center"/>
        <w:rPr>
          <w:rFonts w:ascii="黑体" w:hAnsi="黑体" w:eastAsia="黑体"/>
          <w:sz w:val="84"/>
        </w:rPr>
      </w:pPr>
      <w:r>
        <w:rPr>
          <w:rFonts w:ascii="黑体" w:hAnsi="黑体" w:eastAsia="黑体"/>
          <w:sz w:val="84"/>
        </w:rPr>
        <w:t>公开文本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7" w:after="0" w:line="140" w:lineRule="exact"/>
        <w:rPr>
          <w:sz w:val="14"/>
          <w:szCs w:val="14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4" w:after="0" w:line="150" w:lineRule="exact"/>
        <w:rPr>
          <w:sz w:val="15"/>
          <w:szCs w:val="15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rFonts w:hint="eastAsia" w:eastAsiaTheme="minorEastAsia"/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right="55"/>
        <w:rPr>
          <w:rFonts w:ascii="楷体_GB2312" w:hAnsi="楷体_GB2312" w:eastAsia="楷体_GB2312" w:cs="楷体_GB2312"/>
          <w:sz w:val="36"/>
          <w:szCs w:val="36"/>
          <w:lang w:eastAsia="zh-CN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right="1778"/>
        <w:rPr>
          <w:rFonts w:ascii="楷体_GB2312" w:hAnsi="楷体_GB2312" w:eastAsia="楷体_GB2312" w:cs="楷体_GB2312"/>
          <w:sz w:val="36"/>
          <w:szCs w:val="36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line="502" w:lineRule="exact"/>
        <w:ind w:right="-113"/>
        <w:jc w:val="center"/>
        <w:rPr>
          <w:rFonts w:hint="eastAsia" w:ascii="宋体" w:hAnsi="宋体" w:eastAsiaTheme="minorEastAsia"/>
          <w:sz w:val="40"/>
          <w:szCs w:val="40"/>
          <w:lang w:eastAsia="zh-CN"/>
        </w:rPr>
      </w:pPr>
      <w:r>
        <w:rPr>
          <w:rFonts w:hint="eastAsia" w:ascii="宋体" w:hAnsi="宋体"/>
          <w:sz w:val="40"/>
          <w:szCs w:val="40"/>
        </w:rPr>
        <w:t>南宫市</w:t>
      </w:r>
      <w:r>
        <w:rPr>
          <w:rFonts w:hint="eastAsia" w:ascii="宋体" w:hAnsi="宋体" w:eastAsiaTheme="minorEastAsia"/>
          <w:sz w:val="40"/>
          <w:szCs w:val="40"/>
          <w:lang w:eastAsia="zh-CN"/>
        </w:rPr>
        <w:t>南杜街道办事处</w:t>
      </w:r>
    </w:p>
    <w:p>
      <w:pPr>
        <w:spacing w:line="110" w:lineRule="exact"/>
        <w:rPr>
          <w:rFonts w:ascii="Times New Roman" w:hAnsi="Times New Roman" w:eastAsia="Times New Roman"/>
          <w:sz w:val="40"/>
          <w:szCs w:val="40"/>
        </w:rPr>
      </w:pPr>
    </w:p>
    <w:p>
      <w:pPr>
        <w:spacing w:line="491" w:lineRule="exact"/>
        <w:ind w:right="-93"/>
        <w:jc w:val="center"/>
        <w:rPr>
          <w:rFonts w:hint="eastAsia" w:ascii="宋体" w:hAnsi="宋体" w:eastAsiaTheme="minorEastAsia"/>
          <w:sz w:val="40"/>
          <w:szCs w:val="40"/>
          <w:lang w:eastAsia="zh-CN"/>
        </w:rPr>
      </w:pPr>
      <w:r>
        <w:rPr>
          <w:rFonts w:ascii="宋体" w:hAnsi="宋体"/>
          <w:sz w:val="40"/>
          <w:szCs w:val="40"/>
        </w:rPr>
        <w:t>二〇一九年</w:t>
      </w:r>
      <w:r>
        <w:rPr>
          <w:rFonts w:hint="eastAsia" w:ascii="宋体" w:hAnsi="宋体"/>
          <w:sz w:val="40"/>
          <w:szCs w:val="40"/>
        </w:rPr>
        <w:t>十</w:t>
      </w:r>
      <w:r>
        <w:rPr>
          <w:rFonts w:ascii="宋体" w:hAnsi="宋体"/>
          <w:sz w:val="40"/>
          <w:szCs w:val="40"/>
        </w:rPr>
        <w:t>月</w:t>
      </w:r>
    </w:p>
    <w:p>
      <w:pPr>
        <w:spacing w:line="491" w:lineRule="exact"/>
        <w:ind w:right="-93"/>
        <w:jc w:val="center"/>
        <w:rPr>
          <w:rFonts w:hint="eastAsia" w:ascii="宋体" w:hAnsi="宋体" w:eastAsiaTheme="minorEastAsia"/>
          <w:sz w:val="40"/>
          <w:szCs w:val="40"/>
          <w:lang w:eastAsia="zh-CN"/>
        </w:rPr>
      </w:pPr>
    </w:p>
    <w:p>
      <w:pPr>
        <w:spacing w:line="491" w:lineRule="exact"/>
        <w:ind w:right="-93"/>
        <w:jc w:val="center"/>
        <w:rPr>
          <w:rFonts w:hint="eastAsia" w:ascii="宋体" w:hAnsi="宋体" w:eastAsiaTheme="minorEastAsia"/>
          <w:sz w:val="40"/>
          <w:szCs w:val="40"/>
          <w:lang w:eastAsia="zh-CN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widowControl/>
        <w:spacing w:line="580" w:lineRule="exact"/>
        <w:jc w:val="center"/>
        <w:rPr>
          <w:rFonts w:ascii="宋体" w:hAnsi="宋体" w:cs="宋体"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</w:rPr>
        <w:t>目 录</w:t>
      </w:r>
    </w:p>
    <w:p>
      <w:pPr>
        <w:widowControl/>
        <w:spacing w:line="580" w:lineRule="exact"/>
        <w:ind w:firstLine="640" w:firstLineChars="200"/>
        <w:rPr>
          <w:rFonts w:ascii="宋体" w:hAnsi="宋体" w:cs="宋体"/>
          <w:sz w:val="24"/>
        </w:rPr>
      </w:pPr>
      <w:r>
        <w:rPr>
          <w:rFonts w:eastAsia="黑体"/>
          <w:sz w:val="32"/>
          <w:szCs w:val="32"/>
        </w:rPr>
        <w:t> </w:t>
      </w:r>
    </w:p>
    <w:p>
      <w:pPr>
        <w:widowControl/>
        <w:numPr>
          <w:ilvl w:val="0"/>
          <w:numId w:val="1"/>
        </w:numPr>
        <w:spacing w:after="0" w:line="580" w:lineRule="exact"/>
        <w:rPr>
          <w:rFonts w:hint="eastAsia" w:eastAsia="黑体" w:cs="宋体"/>
          <w:sz w:val="32"/>
          <w:szCs w:val="32"/>
        </w:rPr>
      </w:pPr>
      <w:r>
        <w:rPr>
          <w:rFonts w:hint="eastAsia" w:eastAsia="黑体" w:cs="宋体"/>
          <w:sz w:val="32"/>
          <w:szCs w:val="32"/>
        </w:rPr>
        <w:t xml:space="preserve">   部门概况</w:t>
      </w:r>
    </w:p>
    <w:p>
      <w:pPr>
        <w:widowControl/>
        <w:spacing w:line="200" w:lineRule="exact"/>
        <w:rPr>
          <w:rFonts w:hint="eastAsia" w:eastAsia="黑体" w:cs="宋体"/>
          <w:sz w:val="32"/>
          <w:szCs w:val="32"/>
        </w:rPr>
      </w:pPr>
    </w:p>
    <w:p>
      <w:pPr>
        <w:widowControl/>
        <w:spacing w:line="580" w:lineRule="exact"/>
        <w:rPr>
          <w:rFonts w:ascii="宋体" w:hAnsi="宋体" w:cs="宋体"/>
          <w:sz w:val="24"/>
        </w:rPr>
      </w:pPr>
      <w:r>
        <w:rPr>
          <w:rFonts w:hint="eastAsia" w:hAnsi="宋体" w:eastAsia="仿宋_GB2312" w:cs="宋体"/>
          <w:sz w:val="32"/>
          <w:szCs w:val="32"/>
        </w:rPr>
        <w:t xml:space="preserve">    一、部门职责</w:t>
      </w:r>
    </w:p>
    <w:p>
      <w:pPr>
        <w:widowControl/>
        <w:spacing w:line="580" w:lineRule="exact"/>
        <w:ind w:firstLine="640"/>
        <w:rPr>
          <w:rFonts w:hint="eastAsia" w:hAnsi="宋体" w:eastAsia="仿宋_GB2312" w:cs="宋体"/>
          <w:sz w:val="32"/>
          <w:szCs w:val="32"/>
        </w:rPr>
      </w:pPr>
      <w:r>
        <w:rPr>
          <w:rFonts w:hint="eastAsia" w:hAnsi="宋体" w:eastAsia="仿宋_GB2312" w:cs="宋体"/>
          <w:sz w:val="32"/>
          <w:szCs w:val="32"/>
        </w:rPr>
        <w:t>二、部门构成</w:t>
      </w:r>
    </w:p>
    <w:p>
      <w:pPr>
        <w:widowControl/>
        <w:spacing w:line="200" w:lineRule="exact"/>
        <w:ind w:firstLine="641"/>
        <w:rPr>
          <w:rFonts w:hint="eastAsia" w:hAnsi="宋体" w:eastAsia="仿宋_GB2312" w:cs="宋体"/>
          <w:sz w:val="32"/>
          <w:szCs w:val="32"/>
        </w:rPr>
      </w:pPr>
    </w:p>
    <w:p>
      <w:pPr>
        <w:widowControl/>
        <w:numPr>
          <w:ilvl w:val="0"/>
          <w:numId w:val="1"/>
        </w:numPr>
        <w:spacing w:after="0" w:line="580" w:lineRule="exact"/>
        <w:rPr>
          <w:rFonts w:hint="eastAsia" w:eastAsia="黑体" w:cs="宋体"/>
          <w:sz w:val="32"/>
          <w:szCs w:val="32"/>
        </w:rPr>
      </w:pPr>
      <w:r>
        <w:rPr>
          <w:rFonts w:hint="eastAsia" w:eastAsia="黑体" w:cs="宋体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hint="eastAsia" w:eastAsia="黑体" w:cs="宋体"/>
          <w:sz w:val="32"/>
          <w:szCs w:val="32"/>
        </w:rPr>
        <w:t>年度部门决算报表</w:t>
      </w:r>
    </w:p>
    <w:p>
      <w:pPr>
        <w:widowControl/>
        <w:spacing w:line="200" w:lineRule="exact"/>
        <w:rPr>
          <w:rFonts w:hint="eastAsia" w:eastAsia="黑体" w:cs="宋体"/>
          <w:sz w:val="32"/>
          <w:szCs w:val="32"/>
        </w:rPr>
      </w:pPr>
    </w:p>
    <w:p>
      <w:pPr>
        <w:widowControl/>
        <w:spacing w:line="580" w:lineRule="exact"/>
        <w:rPr>
          <w:rFonts w:ascii="宋体" w:hAnsi="宋体" w:cs="宋体"/>
          <w:sz w:val="24"/>
        </w:rPr>
      </w:pPr>
      <w:r>
        <w:rPr>
          <w:rFonts w:hint="eastAsia" w:hAnsi="宋体" w:eastAsia="仿宋_GB2312" w:cs="宋体"/>
          <w:sz w:val="32"/>
          <w:szCs w:val="32"/>
        </w:rPr>
        <w:t xml:space="preserve">    一、收入支出决算总表</w:t>
      </w:r>
    </w:p>
    <w:p>
      <w:pPr>
        <w:widowControl/>
        <w:spacing w:line="580" w:lineRule="exact"/>
        <w:rPr>
          <w:rFonts w:ascii="宋体" w:hAnsi="宋体" w:cs="宋体"/>
          <w:sz w:val="24"/>
        </w:rPr>
      </w:pPr>
      <w:r>
        <w:rPr>
          <w:rFonts w:hint="eastAsia" w:hAnsi="宋体" w:eastAsia="仿宋_GB2312" w:cs="宋体"/>
          <w:sz w:val="32"/>
          <w:szCs w:val="32"/>
        </w:rPr>
        <w:t xml:space="preserve">    二、收入决算表</w:t>
      </w:r>
    </w:p>
    <w:p>
      <w:pPr>
        <w:widowControl/>
        <w:spacing w:line="580" w:lineRule="exact"/>
        <w:rPr>
          <w:rFonts w:ascii="宋体" w:hAnsi="宋体" w:cs="宋体"/>
          <w:sz w:val="24"/>
        </w:rPr>
      </w:pPr>
      <w:r>
        <w:rPr>
          <w:rFonts w:hint="eastAsia" w:hAnsi="宋体" w:eastAsia="仿宋_GB2312" w:cs="宋体"/>
          <w:sz w:val="32"/>
          <w:szCs w:val="32"/>
        </w:rPr>
        <w:t xml:space="preserve">    三、支出决算表</w:t>
      </w:r>
    </w:p>
    <w:p>
      <w:pPr>
        <w:widowControl/>
        <w:spacing w:line="580" w:lineRule="exact"/>
        <w:rPr>
          <w:rFonts w:ascii="宋体" w:hAnsi="宋体" w:cs="宋体"/>
          <w:sz w:val="24"/>
        </w:rPr>
      </w:pPr>
      <w:r>
        <w:rPr>
          <w:rFonts w:hint="eastAsia" w:hAnsi="宋体" w:eastAsia="仿宋_GB2312" w:cs="宋体"/>
          <w:sz w:val="32"/>
          <w:szCs w:val="32"/>
        </w:rPr>
        <w:t xml:space="preserve">    四、财政拨款收入支出决算总表</w:t>
      </w:r>
    </w:p>
    <w:p>
      <w:pPr>
        <w:widowControl/>
        <w:spacing w:line="580" w:lineRule="exact"/>
        <w:rPr>
          <w:rFonts w:ascii="宋体" w:hAnsi="宋体" w:cs="宋体"/>
          <w:sz w:val="24"/>
        </w:rPr>
      </w:pPr>
      <w:r>
        <w:rPr>
          <w:rFonts w:hint="eastAsia" w:hAnsi="宋体" w:eastAsia="仿宋_GB2312" w:cs="宋体"/>
          <w:sz w:val="32"/>
          <w:szCs w:val="32"/>
        </w:rPr>
        <w:t xml:space="preserve">    五、一般公共预算财政拨款支出决算表</w:t>
      </w:r>
    </w:p>
    <w:p>
      <w:pPr>
        <w:widowControl/>
        <w:spacing w:line="580" w:lineRule="exact"/>
        <w:rPr>
          <w:rFonts w:ascii="宋体" w:hAnsi="宋体" w:cs="宋体"/>
          <w:sz w:val="24"/>
        </w:rPr>
      </w:pPr>
      <w:r>
        <w:rPr>
          <w:rFonts w:hint="eastAsia" w:hAnsi="宋体" w:eastAsia="仿宋_GB2312" w:cs="宋体"/>
          <w:sz w:val="32"/>
          <w:szCs w:val="32"/>
        </w:rPr>
        <w:t xml:space="preserve">    六、一般公共预算财政拨款基本支出决算表</w:t>
      </w:r>
    </w:p>
    <w:p>
      <w:pPr>
        <w:widowControl/>
        <w:spacing w:line="580" w:lineRule="exact"/>
        <w:rPr>
          <w:rFonts w:hint="eastAsia" w:ascii="宋体" w:hAnsi="宋体" w:eastAsia="仿宋_GB2312" w:cs="宋体"/>
          <w:sz w:val="24"/>
        </w:rPr>
      </w:pPr>
      <w:r>
        <w:rPr>
          <w:rFonts w:hint="eastAsia" w:hAnsi="宋体" w:eastAsia="仿宋_GB2312" w:cs="宋体"/>
          <w:sz w:val="32"/>
          <w:szCs w:val="32"/>
        </w:rPr>
        <w:t xml:space="preserve">    七、一般公共预算财政拨款“三公”经费支出决算表</w:t>
      </w:r>
    </w:p>
    <w:p>
      <w:pPr>
        <w:widowControl/>
        <w:spacing w:line="580" w:lineRule="exact"/>
        <w:rPr>
          <w:rFonts w:hint="eastAsia" w:ascii="宋体" w:hAnsi="宋体" w:eastAsia="仿宋_GB2312" w:cs="宋体"/>
          <w:sz w:val="24"/>
        </w:rPr>
      </w:pPr>
      <w:r>
        <w:rPr>
          <w:rFonts w:hint="eastAsia" w:hAnsi="宋体" w:eastAsia="仿宋_GB2312" w:cs="宋体"/>
          <w:sz w:val="32"/>
          <w:szCs w:val="32"/>
        </w:rPr>
        <w:t xml:space="preserve">    八、政府性基金预算财政拨款收入支出决算表</w:t>
      </w:r>
    </w:p>
    <w:p>
      <w:pPr>
        <w:widowControl/>
        <w:spacing w:line="580" w:lineRule="exact"/>
        <w:rPr>
          <w:rFonts w:hint="eastAsia" w:ascii="宋体" w:hAnsi="宋体" w:eastAsia="仿宋_GB2312" w:cs="宋体"/>
          <w:sz w:val="24"/>
        </w:rPr>
      </w:pPr>
      <w:r>
        <w:rPr>
          <w:rFonts w:hint="eastAsia" w:hAnsi="宋体" w:eastAsia="仿宋_GB2312" w:cs="宋体"/>
          <w:sz w:val="32"/>
          <w:szCs w:val="32"/>
        </w:rPr>
        <w:t xml:space="preserve">    九、</w:t>
      </w:r>
      <w:r>
        <w:rPr>
          <w:rFonts w:hint="eastAsia" w:eastAsia="仿宋_GB2312"/>
          <w:sz w:val="32"/>
          <w:szCs w:val="32"/>
        </w:rPr>
        <w:t>国有资本经营预算财政拨款支出决算表</w:t>
      </w:r>
    </w:p>
    <w:p>
      <w:pPr>
        <w:widowControl/>
        <w:spacing w:line="580" w:lineRule="exact"/>
        <w:ind w:firstLine="640"/>
        <w:rPr>
          <w:rFonts w:hint="eastAsia" w:hAnsi="宋体" w:eastAsia="仿宋_GB2312" w:cs="宋体"/>
          <w:sz w:val="32"/>
          <w:szCs w:val="32"/>
        </w:rPr>
      </w:pPr>
      <w:r>
        <w:rPr>
          <w:rFonts w:hint="eastAsia" w:hAnsi="宋体" w:eastAsia="仿宋_GB2312" w:cs="宋体"/>
          <w:sz w:val="32"/>
          <w:szCs w:val="32"/>
        </w:rPr>
        <w:t>十、政府采购情况表</w:t>
      </w:r>
    </w:p>
    <w:p>
      <w:pPr>
        <w:widowControl/>
        <w:spacing w:line="200" w:lineRule="exact"/>
        <w:ind w:firstLine="641"/>
        <w:rPr>
          <w:rFonts w:hint="eastAsia" w:hAnsi="宋体" w:eastAsia="仿宋_GB2312" w:cs="宋体"/>
          <w:sz w:val="32"/>
          <w:szCs w:val="32"/>
        </w:rPr>
      </w:pPr>
    </w:p>
    <w:p>
      <w:pPr>
        <w:widowControl/>
        <w:numPr>
          <w:ilvl w:val="0"/>
          <w:numId w:val="1"/>
        </w:numPr>
        <w:spacing w:after="0" w:line="580" w:lineRule="exact"/>
        <w:rPr>
          <w:rFonts w:hint="eastAsia" w:eastAsia="黑体" w:cs="宋体"/>
          <w:sz w:val="32"/>
          <w:szCs w:val="32"/>
        </w:rPr>
      </w:pPr>
      <w:r>
        <w:rPr>
          <w:rFonts w:hint="eastAsia" w:eastAsia="黑体" w:cs="宋体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hint="eastAsia" w:eastAsia="黑体" w:cs="宋体"/>
          <w:sz w:val="32"/>
          <w:szCs w:val="32"/>
        </w:rPr>
        <w:t>年部门决算情况说明</w:t>
      </w:r>
    </w:p>
    <w:p>
      <w:pPr>
        <w:widowControl/>
        <w:spacing w:line="200" w:lineRule="exact"/>
        <w:rPr>
          <w:rFonts w:hint="eastAsia" w:eastAsia="黑体" w:cs="宋体"/>
          <w:sz w:val="32"/>
          <w:szCs w:val="32"/>
        </w:rPr>
      </w:pPr>
    </w:p>
    <w:p>
      <w:pPr>
        <w:widowControl/>
        <w:spacing w:line="580" w:lineRule="exact"/>
        <w:rPr>
          <w:rFonts w:ascii="宋体" w:hAnsi="宋体" w:cs="宋体"/>
          <w:sz w:val="24"/>
        </w:rPr>
      </w:pPr>
      <w:r>
        <w:rPr>
          <w:rFonts w:hint="eastAsia" w:hAnsi="宋体" w:eastAsia="仿宋_GB2312" w:cs="宋体"/>
          <w:sz w:val="32"/>
          <w:szCs w:val="32"/>
        </w:rPr>
        <w:t xml:space="preserve">    一、收入支出决算总体情况说明</w:t>
      </w:r>
    </w:p>
    <w:p>
      <w:pPr>
        <w:widowControl/>
        <w:spacing w:line="580" w:lineRule="exact"/>
        <w:rPr>
          <w:rFonts w:ascii="宋体" w:hAnsi="宋体" w:cs="宋体"/>
          <w:sz w:val="24"/>
        </w:rPr>
      </w:pPr>
      <w:r>
        <w:rPr>
          <w:rFonts w:hint="eastAsia" w:hAnsi="宋体" w:eastAsia="仿宋_GB2312" w:cs="宋体"/>
          <w:sz w:val="32"/>
          <w:szCs w:val="32"/>
        </w:rPr>
        <w:t xml:space="preserve">    二、收入决算情况说明</w:t>
      </w:r>
    </w:p>
    <w:p>
      <w:pPr>
        <w:widowControl/>
        <w:spacing w:line="580" w:lineRule="exact"/>
        <w:rPr>
          <w:rFonts w:ascii="宋体" w:hAnsi="宋体" w:cs="宋体"/>
          <w:sz w:val="24"/>
        </w:rPr>
      </w:pPr>
      <w:r>
        <w:rPr>
          <w:rFonts w:hint="eastAsia" w:hAnsi="宋体" w:eastAsia="仿宋_GB2312" w:cs="宋体"/>
          <w:sz w:val="32"/>
          <w:szCs w:val="32"/>
        </w:rPr>
        <w:t xml:space="preserve">    三、支出决算情况说明</w:t>
      </w:r>
    </w:p>
    <w:p>
      <w:pPr>
        <w:widowControl/>
        <w:spacing w:line="580" w:lineRule="exact"/>
        <w:rPr>
          <w:rFonts w:ascii="宋体" w:hAnsi="宋体" w:cs="宋体"/>
          <w:sz w:val="24"/>
        </w:rPr>
      </w:pPr>
      <w:r>
        <w:rPr>
          <w:rFonts w:hint="eastAsia" w:hAnsi="宋体" w:eastAsia="仿宋_GB2312" w:cs="宋体"/>
          <w:sz w:val="32"/>
          <w:szCs w:val="32"/>
        </w:rPr>
        <w:t xml:space="preserve">    四、财政拨款收入支出决算情况说明</w:t>
      </w:r>
    </w:p>
    <w:p>
      <w:pPr>
        <w:widowControl/>
        <w:spacing w:line="580" w:lineRule="exact"/>
        <w:rPr>
          <w:rFonts w:ascii="宋体" w:hAnsi="宋体" w:cs="宋体"/>
          <w:sz w:val="24"/>
        </w:rPr>
      </w:pPr>
      <w:r>
        <w:rPr>
          <w:rFonts w:hint="eastAsia" w:hAnsi="宋体" w:eastAsia="仿宋_GB2312" w:cs="宋体"/>
          <w:sz w:val="32"/>
          <w:szCs w:val="32"/>
        </w:rPr>
        <w:t xml:space="preserve">    五、一般公共预算财政拨款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hint="eastAsia" w:hAnsi="宋体" w:eastAsia="仿宋_GB2312" w:cs="宋体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hAnsi="宋体" w:eastAsia="仿宋_GB2312" w:cs="宋体"/>
          <w:sz w:val="32"/>
          <w:szCs w:val="32"/>
        </w:rPr>
        <w:t>经费支出决算情况说明</w:t>
      </w:r>
    </w:p>
    <w:p>
      <w:pPr>
        <w:widowControl/>
        <w:spacing w:line="580" w:lineRule="exact"/>
        <w:rPr>
          <w:rFonts w:ascii="宋体" w:hAnsi="宋体" w:cs="宋体"/>
          <w:sz w:val="24"/>
        </w:rPr>
      </w:pPr>
      <w:r>
        <w:rPr>
          <w:rFonts w:hint="eastAsia" w:hAnsi="宋体" w:eastAsia="仿宋_GB2312" w:cs="宋体"/>
          <w:sz w:val="32"/>
          <w:szCs w:val="32"/>
        </w:rPr>
        <w:t xml:space="preserve">    六、预算绩效情况说明</w:t>
      </w:r>
    </w:p>
    <w:p>
      <w:pPr>
        <w:widowControl/>
        <w:spacing w:line="580" w:lineRule="exact"/>
        <w:ind w:firstLine="640"/>
        <w:rPr>
          <w:rFonts w:hint="eastAsia" w:hAnsi="宋体" w:eastAsia="仿宋_GB2312" w:cs="宋体"/>
          <w:sz w:val="32"/>
          <w:szCs w:val="32"/>
        </w:rPr>
      </w:pPr>
      <w:r>
        <w:rPr>
          <w:rFonts w:hint="eastAsia" w:hAnsi="宋体" w:eastAsia="仿宋_GB2312" w:cs="宋体"/>
          <w:sz w:val="32"/>
          <w:szCs w:val="32"/>
        </w:rPr>
        <w:t>七、其他重要事项的说明</w:t>
      </w:r>
    </w:p>
    <w:p>
      <w:pPr>
        <w:widowControl/>
        <w:spacing w:line="200" w:lineRule="exact"/>
        <w:ind w:firstLine="641"/>
        <w:rPr>
          <w:rFonts w:hint="eastAsia" w:hAnsi="宋体" w:eastAsia="仿宋_GB2312" w:cs="宋体"/>
          <w:sz w:val="32"/>
          <w:szCs w:val="32"/>
        </w:rPr>
      </w:pPr>
    </w:p>
    <w:p>
      <w:pPr>
        <w:widowControl/>
        <w:spacing w:line="580" w:lineRule="exact"/>
        <w:rPr>
          <w:rFonts w:ascii="宋体" w:hAnsi="宋体" w:cs="宋体"/>
          <w:sz w:val="24"/>
        </w:rPr>
      </w:pPr>
      <w:r>
        <w:rPr>
          <w:rFonts w:hint="eastAsia" w:eastAsia="黑体" w:cs="宋体"/>
          <w:sz w:val="32"/>
          <w:szCs w:val="32"/>
        </w:rPr>
        <w:t>第四部分</w:t>
      </w:r>
      <w:r>
        <w:rPr>
          <w:rFonts w:eastAsia="黑体"/>
          <w:sz w:val="32"/>
          <w:szCs w:val="32"/>
        </w:rPr>
        <w:t xml:space="preserve"> </w:t>
      </w:r>
      <w:r>
        <w:rPr>
          <w:rFonts w:hint="eastAsia" w:eastAsia="黑体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 xml:space="preserve"> </w:t>
      </w:r>
      <w:r>
        <w:rPr>
          <w:rFonts w:hint="eastAsia" w:eastAsia="黑体" w:cs="宋体"/>
          <w:sz w:val="32"/>
          <w:szCs w:val="32"/>
        </w:rPr>
        <w:t>名词解释</w:t>
      </w:r>
    </w:p>
    <w:p>
      <w:pPr>
        <w:spacing w:after="0" w:line="318" w:lineRule="auto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type w:val="continuous"/>
          <w:pgSz w:w="11920" w:h="16840"/>
          <w:pgMar w:top="1474" w:right="1680" w:bottom="1474" w:left="1680" w:header="720" w:footer="720" w:gutter="0"/>
          <w:cols w:equalWidth="0" w:num="1">
            <w:col w:w="8880"/>
          </w:cols>
        </w:sectPr>
      </w:pPr>
    </w:p>
    <w:p>
      <w:pPr>
        <w:spacing w:before="4" w:after="0" w:line="180" w:lineRule="exact"/>
        <w:rPr>
          <w:sz w:val="18"/>
          <w:szCs w:val="18"/>
        </w:rPr>
      </w:pPr>
    </w:p>
    <w:p>
      <w:pPr>
        <w:tabs>
          <w:tab w:val="left" w:pos="2380"/>
        </w:tabs>
        <w:spacing w:after="0" w:line="528" w:lineRule="exact"/>
        <w:ind w:left="194" w:right="-20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1"/>
          <w:position w:val="1"/>
          <w:sz w:val="44"/>
          <w:szCs w:val="44"/>
        </w:rPr>
        <w:t>第一部</w:t>
      </w:r>
      <w:r>
        <w:rPr>
          <w:rFonts w:ascii="微软雅黑" w:hAnsi="微软雅黑" w:eastAsia="微软雅黑" w:cs="微软雅黑"/>
          <w:position w:val="1"/>
          <w:sz w:val="44"/>
          <w:szCs w:val="44"/>
        </w:rPr>
        <w:t>分</w:t>
      </w:r>
      <w:r>
        <w:rPr>
          <w:rFonts w:ascii="微软雅黑" w:hAnsi="微软雅黑" w:eastAsia="微软雅黑" w:cs="微软雅黑"/>
          <w:position w:val="1"/>
          <w:sz w:val="44"/>
          <w:szCs w:val="44"/>
        </w:rPr>
        <w:tab/>
      </w:r>
      <w:r>
        <w:rPr>
          <w:rFonts w:hint="eastAsia" w:ascii="微软雅黑" w:hAnsi="微软雅黑" w:eastAsia="微软雅黑" w:cs="微软雅黑"/>
          <w:spacing w:val="-1"/>
          <w:position w:val="1"/>
          <w:sz w:val="44"/>
          <w:szCs w:val="44"/>
          <w:lang w:eastAsia="zh-CN"/>
        </w:rPr>
        <w:t>南宫市南杜街道办事处</w:t>
      </w:r>
      <w:r>
        <w:rPr>
          <w:rFonts w:ascii="微软雅黑" w:hAnsi="微软雅黑" w:eastAsia="微软雅黑" w:cs="微软雅黑"/>
          <w:spacing w:val="-1"/>
          <w:position w:val="1"/>
          <w:sz w:val="44"/>
          <w:szCs w:val="44"/>
        </w:rPr>
        <w:t>部门概况</w:t>
      </w:r>
    </w:p>
    <w:p>
      <w:pPr>
        <w:spacing w:before="5" w:after="0" w:line="150" w:lineRule="exact"/>
        <w:rPr>
          <w:sz w:val="15"/>
          <w:szCs w:val="15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left="753" w:right="-2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一、部门职责</w:t>
      </w:r>
    </w:p>
    <w:p>
      <w:pPr>
        <w:spacing w:before="8" w:after="0" w:line="140" w:lineRule="exact"/>
        <w:rPr>
          <w:sz w:val="14"/>
          <w:szCs w:val="14"/>
        </w:rPr>
      </w:pP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根据《南宫市南杜街道办事处职责能配置、内设机构和人员编制方案》规定，南宫市南杜街道办事处的主要职责是：</w:t>
      </w:r>
    </w:p>
    <w:p>
      <w:pPr>
        <w:spacing w:line="240" w:lineRule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1、认真贯彻执行党的各项路线方针政策；</w:t>
      </w:r>
    </w:p>
    <w:p>
      <w:pPr>
        <w:spacing w:line="240" w:lineRule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2、落实科学发展观，以发展为第一要务，突出重点狠抓项目建设、招商引资；</w:t>
      </w:r>
    </w:p>
    <w:p>
      <w:pPr>
        <w:spacing w:line="240" w:lineRule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3、加强党的基层组织建设、思想建设和基层政权建设；</w:t>
      </w:r>
    </w:p>
    <w:p>
      <w:pPr>
        <w:spacing w:line="240" w:lineRule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4、认真执行市委市政府的规划计划；</w:t>
      </w:r>
    </w:p>
    <w:p>
      <w:pPr>
        <w:spacing w:line="240" w:lineRule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5、指导村民委员会实行村民自治，推进民主政治建设和民主法治建设，落实“一事一议”政策，为群众办好实事；</w:t>
      </w:r>
    </w:p>
    <w:p>
      <w:pPr>
        <w:spacing w:line="240" w:lineRule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6、发展和扶持处办企业；</w:t>
      </w:r>
    </w:p>
    <w:p>
      <w:pPr>
        <w:spacing w:line="240" w:lineRule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7、协助市级各职能部门开展工作；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8、贯彻执行党的计划生育政策，为全处群众提供生产、生活、生育等服务；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9、调整农村产业结构，提高农民调整农业结构，提高在特色上下功夫、规模再做文章的积极性，增加农民收入；</w:t>
      </w:r>
    </w:p>
    <w:p>
      <w:pPr>
        <w:snapToGrid w:val="0"/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10、加强全处精神文明建设，努力增加文化、教育、卫生事业投入，提高人民精神文化生活生平。</w:t>
      </w:r>
    </w:p>
    <w:p>
      <w:pPr>
        <w:snapToGrid w:val="0"/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p>
      <w:pPr>
        <w:snapToGrid w:val="0"/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p>
      <w:pPr>
        <w:snapToGrid w:val="0"/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p>
      <w:pPr>
        <w:snapToGrid w:val="0"/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before="8" w:after="0" w:line="140" w:lineRule="exact"/>
        <w:rPr>
          <w:sz w:val="14"/>
          <w:szCs w:val="14"/>
        </w:rPr>
      </w:pPr>
    </w:p>
    <w:p>
      <w:pPr>
        <w:spacing w:after="0" w:line="240" w:lineRule="auto"/>
        <w:ind w:left="753" w:right="-2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二、部门决算单位构成:</w:t>
      </w:r>
    </w:p>
    <w:p>
      <w:pPr>
        <w:spacing w:before="7" w:after="0" w:line="140" w:lineRule="exact"/>
        <w:rPr>
          <w:sz w:val="14"/>
          <w:szCs w:val="14"/>
        </w:rPr>
      </w:pPr>
    </w:p>
    <w:p>
      <w:pPr>
        <w:spacing w:after="0" w:line="240" w:lineRule="auto"/>
        <w:ind w:left="753" w:right="-2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南宫市南杜街道办事处</w:t>
      </w:r>
      <w:r>
        <w:rPr>
          <w:rFonts w:ascii="仿宋_GB2312" w:hAnsi="仿宋_GB2312" w:eastAsia="仿宋_GB2312" w:cs="仿宋_GB2312"/>
          <w:sz w:val="32"/>
          <w:szCs w:val="32"/>
        </w:rPr>
        <w:t>（机关）</w:t>
      </w:r>
    </w:p>
    <w:p>
      <w:pPr>
        <w:ind w:firstLine="960" w:firstLineChars="300"/>
        <w:rPr>
          <w:rFonts w:ascii="仿宋" w:hAnsi="仿宋" w:eastAsia="仿宋"/>
          <w:sz w:val="32"/>
          <w:lang w:eastAsia="zh-CN"/>
        </w:rPr>
      </w:pPr>
      <w:r>
        <w:rPr>
          <w:rFonts w:hint="eastAsia" w:ascii="仿宋" w:hAnsi="仿宋" w:eastAsia="仿宋"/>
          <w:sz w:val="32"/>
          <w:lang w:eastAsia="zh-CN"/>
        </w:rPr>
        <w:t>（一）、行政机构：下设</w:t>
      </w:r>
      <w:r>
        <w:rPr>
          <w:rFonts w:hint="eastAsia" w:ascii="仿宋" w:hAnsi="仿宋" w:eastAsia="仿宋"/>
          <w:sz w:val="32"/>
        </w:rPr>
        <w:t>党政办公室（挂综合治理办公室牌子）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农业办公室（含社会事务办公室）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财经办公室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计划生育办公室</w:t>
      </w:r>
      <w:r>
        <w:rPr>
          <w:rFonts w:hint="eastAsia" w:ascii="仿宋" w:hAnsi="仿宋" w:eastAsia="仿宋"/>
          <w:sz w:val="32"/>
          <w:lang w:eastAsia="zh-CN"/>
        </w:rPr>
        <w:t>。</w:t>
      </w:r>
    </w:p>
    <w:p>
      <w:pPr>
        <w:rPr>
          <w:rFonts w:ascii="仿宋_GB2312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 xml:space="preserve">     （二）事业机构：下设农村和乡镇企业综合服务站、计划生育技术服务站、社会公益事业服务站。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lang w:eastAsia="zh-CN"/>
        </w:rPr>
      </w:pP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lang w:eastAsia="zh-CN"/>
        </w:rPr>
      </w:pPr>
    </w:p>
    <w:p>
      <w:pPr>
        <w:snapToGrid w:val="0"/>
        <w:spacing w:line="520" w:lineRule="exact"/>
        <w:rPr>
          <w:rFonts w:ascii="仿宋" w:hAnsi="仿宋" w:eastAsia="仿宋"/>
          <w:sz w:val="32"/>
          <w:lang w:eastAsia="zh-CN"/>
        </w:rPr>
        <w:sectPr>
          <w:pgSz w:w="11920" w:h="16840"/>
          <w:pgMar w:top="1474" w:right="1680" w:bottom="1474" w:left="1680" w:header="720" w:footer="720" w:gutter="0"/>
          <w:cols w:equalWidth="0" w:num="1">
            <w:col w:w="9360"/>
          </w:cols>
        </w:sectPr>
      </w:pPr>
    </w:p>
    <w:p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>
      <w:pPr>
        <w:numPr>
          <w:ilvl w:val="0"/>
          <w:numId w:val="2"/>
        </w:numPr>
        <w:tabs>
          <w:tab w:val="left" w:pos="3240"/>
        </w:tabs>
        <w:spacing w:after="0" w:line="500" w:lineRule="exact"/>
        <w:ind w:left="1053" w:right="-20"/>
        <w:rPr>
          <w:rFonts w:ascii="微软雅黑" w:hAnsi="微软雅黑" w:eastAsia="微软雅黑" w:cs="微软雅黑"/>
          <w:spacing w:val="-1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南宫市南杜街道办事处</w:t>
      </w:r>
      <w:r>
        <w:rPr>
          <w:rFonts w:ascii="微软雅黑" w:hAnsi="微软雅黑" w:eastAsia="微软雅黑" w:cs="微软雅黑"/>
          <w:spacing w:val="-1"/>
          <w:w w:val="84"/>
          <w:sz w:val="44"/>
          <w:szCs w:val="44"/>
        </w:rPr>
        <w:t>201</w:t>
      </w:r>
      <w:r>
        <w:rPr>
          <w:rFonts w:hint="eastAsia" w:ascii="微软雅黑" w:hAnsi="微软雅黑" w:eastAsia="微软雅黑" w:cs="微软雅黑"/>
          <w:w w:val="84"/>
          <w:sz w:val="44"/>
          <w:szCs w:val="44"/>
          <w:lang w:eastAsia="zh-CN"/>
        </w:rPr>
        <w:t>8</w:t>
      </w:r>
      <w:r>
        <w:rPr>
          <w:rFonts w:ascii="微软雅黑" w:hAnsi="微软雅黑" w:eastAsia="微软雅黑" w:cs="微软雅黑"/>
          <w:spacing w:val="12"/>
          <w:w w:val="84"/>
          <w:sz w:val="44"/>
          <w:szCs w:val="44"/>
        </w:rPr>
        <w:t xml:space="preserve"> </w:t>
      </w:r>
      <w:r>
        <w:rPr>
          <w:rFonts w:ascii="微软雅黑" w:hAnsi="微软雅黑" w:eastAsia="微软雅黑" w:cs="微软雅黑"/>
          <w:spacing w:val="-1"/>
          <w:sz w:val="44"/>
          <w:szCs w:val="44"/>
        </w:rPr>
        <w:t>年度部门决算报表</w:t>
      </w:r>
    </w:p>
    <w:p>
      <w:pPr>
        <w:spacing w:after="0" w:line="240" w:lineRule="auto"/>
        <w:jc w:val="center"/>
        <w:rPr>
          <w:rFonts w:eastAsia="宋体"/>
          <w:sz w:val="20"/>
          <w:szCs w:val="20"/>
          <w:lang w:eastAsia="zh-CN"/>
        </w:rPr>
      </w:pPr>
      <w:r>
        <w:rPr>
          <w:rFonts w:eastAsia="宋体"/>
          <w:sz w:val="20"/>
          <w:szCs w:val="20"/>
          <w:lang w:eastAsia="zh-CN"/>
        </w:rPr>
        <w:drawing>
          <wp:inline distT="0" distB="0" distL="0" distR="0">
            <wp:extent cx="7940675" cy="4391025"/>
            <wp:effectExtent l="19050" t="0" r="3040" b="0"/>
            <wp:docPr id="1" name="图片 0" descr="公开01-收入支出决算总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公开01-收入支出决算总表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2580" cy="439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rFonts w:eastAsiaTheme="minorEastAsia"/>
          <w:sz w:val="20"/>
          <w:szCs w:val="20"/>
          <w:lang w:eastAsia="zh-CN"/>
        </w:rPr>
        <w:sectPr>
          <w:pgSz w:w="16840" w:h="11920" w:orient="landscape"/>
          <w:pgMar w:top="1474" w:right="1680" w:bottom="1474" w:left="1680" w:header="720" w:footer="720" w:gutter="0"/>
          <w:cols w:equalWidth="0" w:num="1">
            <w:col w:w="13780"/>
          </w:cols>
        </w:sectPr>
      </w:pPr>
    </w:p>
    <w:p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>
      <w:pPr>
        <w:spacing w:after="0" w:line="240" w:lineRule="auto"/>
        <w:jc w:val="center"/>
        <w:rPr>
          <w:rFonts w:eastAsia="宋体"/>
          <w:sz w:val="20"/>
          <w:szCs w:val="20"/>
          <w:lang w:eastAsia="zh-CN"/>
        </w:rPr>
      </w:pPr>
      <w:r>
        <w:rPr>
          <w:rFonts w:eastAsia="宋体"/>
          <w:sz w:val="20"/>
          <w:szCs w:val="20"/>
          <w:lang w:eastAsia="zh-CN"/>
        </w:rPr>
        <w:drawing>
          <wp:inline distT="0" distB="0" distL="0" distR="0">
            <wp:extent cx="8408670" cy="5697220"/>
            <wp:effectExtent l="19050" t="0" r="0" b="0"/>
            <wp:docPr id="7" name="图片 6" descr="Z03收入决算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Z03收入决算表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8670" cy="569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00" w:lineRule="exact"/>
        <w:rPr>
          <w:rFonts w:eastAsiaTheme="minorEastAsia"/>
          <w:sz w:val="20"/>
          <w:szCs w:val="20"/>
          <w:lang w:eastAsia="zh-CN"/>
        </w:rPr>
      </w:pPr>
    </w:p>
    <w:p>
      <w:pPr>
        <w:spacing w:after="0" w:line="240" w:lineRule="auto"/>
        <w:jc w:val="center"/>
        <w:rPr>
          <w:rFonts w:eastAsia="宋体"/>
          <w:sz w:val="20"/>
          <w:szCs w:val="20"/>
          <w:lang w:eastAsia="zh-CN"/>
        </w:rPr>
      </w:pPr>
      <w:r>
        <w:rPr>
          <w:rFonts w:eastAsia="宋体"/>
          <w:sz w:val="20"/>
          <w:szCs w:val="20"/>
          <w:lang w:eastAsia="zh-CN"/>
        </w:rPr>
        <w:drawing>
          <wp:inline distT="0" distB="0" distL="0" distR="0">
            <wp:extent cx="7657465" cy="5124450"/>
            <wp:effectExtent l="19050" t="0" r="437" b="0"/>
            <wp:docPr id="8" name="图片 7" descr="Z04支出决算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Z04支出决算表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9370" cy="512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eastAsia="宋体"/>
          <w:sz w:val="20"/>
          <w:szCs w:val="20"/>
          <w:lang w:eastAsia="zh-CN"/>
        </w:rPr>
      </w:pPr>
      <w:r>
        <w:rPr>
          <w:rFonts w:eastAsia="宋体"/>
          <w:sz w:val="20"/>
          <w:szCs w:val="20"/>
          <w:lang w:eastAsia="zh-CN"/>
        </w:rPr>
        <w:drawing>
          <wp:inline distT="0" distB="0" distL="0" distR="0">
            <wp:extent cx="7439025" cy="5600700"/>
            <wp:effectExtent l="19050" t="0" r="9525" b="0"/>
            <wp:docPr id="9" name="图片 8" descr="Z01-1财政拨款收入支出决算总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Z01-1财政拨款收入支出决算总表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eastAsia="宋体"/>
          <w:sz w:val="20"/>
          <w:szCs w:val="20"/>
          <w:lang w:eastAsia="zh-CN"/>
        </w:rPr>
      </w:pPr>
      <w:r>
        <w:rPr>
          <w:rFonts w:eastAsia="宋体"/>
          <w:sz w:val="20"/>
          <w:szCs w:val="20"/>
          <w:lang w:eastAsia="zh-CN"/>
        </w:rPr>
        <w:drawing>
          <wp:inline distT="0" distB="0" distL="0" distR="0">
            <wp:extent cx="5076825" cy="5657850"/>
            <wp:effectExtent l="19050" t="0" r="9525" b="0"/>
            <wp:docPr id="10" name="图片 9" descr="Z07一般公共预算财政拨款支出决算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Z07一般公共预算财政拨款支出决算表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jc w:val="center"/>
        <w:rPr>
          <w:rFonts w:hint="eastAsia" w:eastAsia="宋体"/>
          <w:sz w:val="20"/>
          <w:szCs w:val="20"/>
          <w:lang w:eastAsia="zh-CN"/>
        </w:rPr>
      </w:pPr>
      <w:r>
        <w:rPr>
          <w:rFonts w:eastAsia="宋体"/>
          <w:sz w:val="20"/>
          <w:szCs w:val="20"/>
          <w:lang w:eastAsia="zh-CN"/>
        </w:rPr>
        <w:drawing>
          <wp:inline distT="0" distB="0" distL="0" distR="0">
            <wp:extent cx="8559800" cy="4961890"/>
            <wp:effectExtent l="19050" t="0" r="0" b="0"/>
            <wp:docPr id="11" name="图片 10" descr="Z08-1一般公共预算财政拨款基本支出决算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Z08-1一般公共预算财政拨款基本支出决算表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9800" cy="496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hint="eastAsia" w:eastAsia="宋体"/>
          <w:sz w:val="20"/>
          <w:szCs w:val="20"/>
          <w:lang w:eastAsia="zh-CN"/>
        </w:rPr>
      </w:pPr>
    </w:p>
    <w:p>
      <w:pPr>
        <w:spacing w:after="0" w:line="240" w:lineRule="auto"/>
        <w:jc w:val="center"/>
        <w:rPr>
          <w:rFonts w:hint="eastAsia" w:eastAsia="宋体"/>
          <w:sz w:val="20"/>
          <w:szCs w:val="20"/>
          <w:lang w:eastAsia="zh-CN"/>
        </w:rPr>
      </w:pPr>
    </w:p>
    <w:p>
      <w:pPr>
        <w:spacing w:after="0" w:line="240" w:lineRule="auto"/>
        <w:jc w:val="center"/>
        <w:rPr>
          <w:rFonts w:hint="eastAsia" w:eastAsia="宋体"/>
          <w:sz w:val="20"/>
          <w:szCs w:val="20"/>
          <w:lang w:eastAsia="zh-CN"/>
        </w:rPr>
      </w:pPr>
    </w:p>
    <w:p>
      <w:pPr>
        <w:spacing w:after="0" w:line="240" w:lineRule="auto"/>
        <w:jc w:val="center"/>
        <w:rPr>
          <w:rFonts w:hint="eastAsia" w:eastAsia="宋体"/>
          <w:sz w:val="20"/>
          <w:szCs w:val="20"/>
          <w:lang w:eastAsia="zh-CN"/>
        </w:rPr>
      </w:pPr>
    </w:p>
    <w:p>
      <w:pPr>
        <w:spacing w:after="0" w:line="240" w:lineRule="auto"/>
        <w:jc w:val="center"/>
        <w:rPr>
          <w:rFonts w:eastAsia="宋体"/>
          <w:sz w:val="20"/>
          <w:szCs w:val="20"/>
          <w:lang w:eastAsia="zh-CN"/>
        </w:rPr>
      </w:pPr>
      <w:r>
        <w:rPr>
          <w:rFonts w:eastAsia="宋体"/>
          <w:sz w:val="20"/>
          <w:szCs w:val="20"/>
          <w:lang w:eastAsia="zh-CN"/>
        </w:rPr>
        <w:drawing>
          <wp:inline distT="0" distB="0" distL="0" distR="0">
            <wp:extent cx="8559800" cy="1460500"/>
            <wp:effectExtent l="19050" t="0" r="0" b="0"/>
            <wp:docPr id="18" name="图片 13" descr="CS05一般公共预算三公经费支出决算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3" descr="CS05一般公共预算三公经费支出决算表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98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1" w:lineRule="exact"/>
        <w:rPr>
          <w:rFonts w:ascii="宋体" w:hAnsi="宋体" w:eastAsia="宋体" w:cs="宋体"/>
          <w:sz w:val="14"/>
          <w:szCs w:val="14"/>
        </w:rPr>
        <w:sectPr>
          <w:type w:val="continuous"/>
          <w:pgSz w:w="16840" w:h="11920" w:orient="landscape"/>
          <w:pgMar w:top="1474" w:right="1680" w:bottom="1474" w:left="1680" w:header="720" w:footer="720" w:gutter="0"/>
          <w:cols w:equalWidth="0" w:num="1">
            <w:col w:w="13780"/>
          </w:cols>
        </w:sectPr>
      </w:pPr>
    </w:p>
    <w:p>
      <w:pPr>
        <w:spacing w:before="96" w:after="0" w:line="240" w:lineRule="auto"/>
        <w:ind w:left="114" w:right="-20"/>
        <w:jc w:val="center"/>
        <w:rPr>
          <w:rFonts w:ascii="Times New Roman" w:hAnsi="Times New Roman" w:eastAsia="宋体" w:cs="Times New Roman"/>
          <w:sz w:val="20"/>
          <w:szCs w:val="20"/>
          <w:lang w:eastAsia="zh-CN"/>
        </w:rPr>
      </w:pPr>
      <w:r>
        <w:rPr>
          <w:rFonts w:hint="eastAsia" w:ascii="Times New Roman" w:hAnsi="Times New Roman" w:eastAsia="宋体" w:cs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宋体" w:cs="Times New Roman"/>
          <w:sz w:val="20"/>
          <w:szCs w:val="20"/>
          <w:lang w:eastAsia="zh-CN"/>
        </w:rPr>
        <w:drawing>
          <wp:inline distT="0" distB="0" distL="0" distR="0">
            <wp:extent cx="8559800" cy="2484120"/>
            <wp:effectExtent l="19050" t="0" r="0" b="0"/>
            <wp:docPr id="12" name="图片 11" descr="Z09政府性基金预算收入支出决算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Z09政府性基金预算收入支出决算表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980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6" w:after="0" w:line="240" w:lineRule="auto"/>
        <w:ind w:left="114" w:right="-20"/>
        <w:jc w:val="center"/>
        <w:rPr>
          <w:rFonts w:ascii="Times New Roman" w:hAnsi="Times New Roman" w:eastAsia="宋体" w:cs="Times New Roman"/>
          <w:sz w:val="20"/>
          <w:szCs w:val="20"/>
          <w:lang w:eastAsia="zh-CN"/>
        </w:rPr>
      </w:pPr>
    </w:p>
    <w:p>
      <w:pPr>
        <w:spacing w:before="96" w:after="0" w:line="240" w:lineRule="auto"/>
        <w:ind w:left="114" w:right="-20"/>
        <w:jc w:val="center"/>
        <w:rPr>
          <w:rFonts w:ascii="Times New Roman" w:hAnsi="Times New Roman" w:eastAsia="宋体" w:cs="Times New Roman"/>
          <w:sz w:val="20"/>
          <w:szCs w:val="20"/>
          <w:lang w:eastAsia="zh-CN"/>
        </w:rPr>
      </w:pPr>
    </w:p>
    <w:p>
      <w:pPr>
        <w:spacing w:before="96" w:after="0" w:line="240" w:lineRule="auto"/>
        <w:ind w:left="114" w:right="-20"/>
        <w:jc w:val="center"/>
        <w:rPr>
          <w:rFonts w:hint="eastAsia" w:ascii="Times New Roman" w:hAnsi="Times New Roman" w:eastAsia="宋体" w:cs="Times New Roman"/>
          <w:sz w:val="20"/>
          <w:szCs w:val="20"/>
          <w:lang w:eastAsia="zh-CN"/>
        </w:rPr>
        <w:sectPr>
          <w:pgSz w:w="16840" w:h="11920" w:orient="landscape"/>
          <w:pgMar w:top="1474" w:right="1680" w:bottom="1474" w:left="1680" w:header="720" w:footer="720" w:gutter="0"/>
          <w:cols w:equalWidth="0" w:num="1">
            <w:col w:w="14600"/>
          </w:cols>
        </w:sectPr>
      </w:pPr>
      <w:r>
        <w:rPr>
          <w:rFonts w:ascii="Times New Roman" w:hAnsi="Times New Roman" w:eastAsia="宋体" w:cs="Times New Roman"/>
          <w:sz w:val="20"/>
          <w:szCs w:val="20"/>
          <w:lang w:eastAsia="zh-CN"/>
        </w:rPr>
        <w:drawing>
          <wp:inline distT="0" distB="0" distL="0" distR="0">
            <wp:extent cx="6600825" cy="2733675"/>
            <wp:effectExtent l="19050" t="0" r="9525" b="0"/>
            <wp:docPr id="13" name="图片 12" descr="Z10国有资本性支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Z10国有资本性支出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hint="eastAsia" w:ascii="Times New Roman" w:hAnsi="Times New Roman" w:cs="Times New Roman" w:eastAsiaTheme="minorEastAsia"/>
          <w:sz w:val="20"/>
          <w:szCs w:val="20"/>
          <w:lang w:eastAsia="zh-CN"/>
        </w:rPr>
        <w:sectPr>
          <w:pgSz w:w="16840" w:h="11920" w:orient="landscape"/>
          <w:pgMar w:top="1474" w:right="1680" w:bottom="1474" w:left="1680" w:header="720" w:footer="720" w:gutter="0"/>
          <w:cols w:equalWidth="0" w:num="1">
            <w:col w:w="14980"/>
          </w:cols>
        </w:sectPr>
      </w:pPr>
      <w:r>
        <w:rPr>
          <w:rFonts w:ascii="Times New Roman" w:hAnsi="Times New Roman" w:cs="Times New Roman" w:eastAsiaTheme="minorEastAsia"/>
          <w:sz w:val="20"/>
          <w:szCs w:val="20"/>
          <w:lang w:eastAsia="zh-CN"/>
        </w:rPr>
        <w:drawing>
          <wp:inline distT="0" distB="0" distL="0" distR="0">
            <wp:extent cx="8559800" cy="3488690"/>
            <wp:effectExtent l="19050" t="0" r="0" b="0"/>
            <wp:docPr id="19" name="图片 14" descr="CS06政府采购情况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4" descr="CS06政府采购情况表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9800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" w:after="0" w:line="200" w:lineRule="exact"/>
        <w:rPr>
          <w:rFonts w:hint="eastAsia" w:eastAsiaTheme="minorEastAsia"/>
          <w:sz w:val="20"/>
          <w:szCs w:val="20"/>
          <w:lang w:eastAsia="zh-CN"/>
        </w:rPr>
      </w:pPr>
    </w:p>
    <w:p>
      <w:pPr>
        <w:tabs>
          <w:tab w:val="left" w:pos="3220"/>
        </w:tabs>
        <w:spacing w:after="0" w:line="528" w:lineRule="exact"/>
        <w:jc w:val="center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1"/>
          <w:position w:val="1"/>
          <w:sz w:val="44"/>
          <w:szCs w:val="44"/>
        </w:rPr>
        <w:t>第三部</w:t>
      </w:r>
      <w:r>
        <w:rPr>
          <w:rFonts w:ascii="微软雅黑" w:hAnsi="微软雅黑" w:eastAsia="微软雅黑" w:cs="微软雅黑"/>
          <w:position w:val="1"/>
          <w:sz w:val="44"/>
          <w:szCs w:val="44"/>
        </w:rPr>
        <w:t>分</w:t>
      </w:r>
      <w:r>
        <w:rPr>
          <w:rFonts w:hint="eastAsia" w:ascii="微软雅黑" w:hAnsi="微软雅黑" w:eastAsia="微软雅黑" w:cs="微软雅黑"/>
          <w:position w:val="1"/>
          <w:sz w:val="44"/>
          <w:szCs w:val="44"/>
          <w:lang w:eastAsia="zh-CN"/>
        </w:rPr>
        <w:t xml:space="preserve">  </w:t>
      </w:r>
      <w:r>
        <w:rPr>
          <w:rFonts w:ascii="微软雅黑" w:hAnsi="微软雅黑" w:eastAsia="微软雅黑" w:cs="微软雅黑"/>
          <w:w w:val="85"/>
          <w:sz w:val="44"/>
          <w:szCs w:val="44"/>
        </w:rPr>
        <w:t>201</w:t>
      </w:r>
      <w:r>
        <w:rPr>
          <w:rFonts w:hint="eastAsia" w:ascii="微软雅黑" w:hAnsi="微软雅黑" w:eastAsia="微软雅黑" w:cs="微软雅黑"/>
          <w:w w:val="85"/>
          <w:sz w:val="44"/>
          <w:szCs w:val="44"/>
          <w:lang w:eastAsia="zh-CN"/>
        </w:rPr>
        <w:t>8</w:t>
      </w:r>
      <w:r>
        <w:rPr>
          <w:rFonts w:ascii="微软雅黑" w:hAnsi="微软雅黑" w:eastAsia="微软雅黑" w:cs="微软雅黑"/>
          <w:sz w:val="44"/>
          <w:szCs w:val="44"/>
        </w:rPr>
        <w:t>年部门决算情况说明</w:t>
      </w:r>
    </w:p>
    <w:p>
      <w:pPr>
        <w:spacing w:after="0" w:line="120" w:lineRule="exact"/>
        <w:jc w:val="center"/>
        <w:rPr>
          <w:sz w:val="12"/>
          <w:szCs w:val="12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left="753" w:right="-2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一、收入支出决算总体情况说明</w:t>
      </w:r>
    </w:p>
    <w:p>
      <w:pPr>
        <w:spacing w:before="4" w:after="0" w:line="150" w:lineRule="exact"/>
        <w:rPr>
          <w:sz w:val="15"/>
          <w:szCs w:val="15"/>
        </w:rPr>
      </w:pPr>
    </w:p>
    <w:p>
      <w:pPr>
        <w:tabs>
          <w:tab w:val="left" w:pos="7563"/>
        </w:tabs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办事处</w:t>
      </w:r>
      <w:r>
        <w:rPr>
          <w:rFonts w:ascii="仿宋_GB2312" w:hAnsi="仿宋_GB2312" w:eastAsia="仿宋_GB2312" w:cs="仿宋_GB2312"/>
          <w:spacing w:val="-4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</w:t>
      </w:r>
      <w:r>
        <w:rPr>
          <w:rFonts w:ascii="仿宋_GB2312" w:hAnsi="仿宋_GB2312" w:eastAsia="仿宋_GB2312" w:cs="仿宋_GB2312"/>
          <w:sz w:val="32"/>
          <w:szCs w:val="32"/>
        </w:rPr>
        <w:t>年收入总计</w:t>
      </w:r>
      <w:r>
        <w:rPr>
          <w:rFonts w:ascii="仿宋_GB2312" w:hAnsi="仿宋_GB2312" w:eastAsia="仿宋_GB2312" w:cs="仿宋_GB2312"/>
          <w:spacing w:val="-4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543.93</w:t>
      </w:r>
      <w:r>
        <w:rPr>
          <w:rFonts w:ascii="仿宋_GB2312" w:hAnsi="仿宋_GB2312" w:eastAsia="仿宋_GB2312" w:cs="仿宋_GB2312"/>
          <w:spacing w:val="-41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万元。201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</w:t>
      </w:r>
      <w:r>
        <w:rPr>
          <w:rFonts w:ascii="仿宋_GB2312" w:hAnsi="仿宋_GB2312" w:eastAsia="仿宋_GB2312" w:cs="仿宋_GB2312"/>
          <w:sz w:val="32"/>
          <w:szCs w:val="32"/>
        </w:rPr>
        <w:t>年支出总计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540.91</w:t>
      </w:r>
      <w:r>
        <w:rPr>
          <w:rFonts w:ascii="仿宋_GB2312" w:hAnsi="仿宋_GB2312" w:eastAsia="仿宋_GB2312" w:cs="仿宋_GB2312"/>
          <w:sz w:val="32"/>
          <w:szCs w:val="32"/>
        </w:rPr>
        <w:t>万元，其中一般公共服务支出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270.94</w:t>
      </w:r>
      <w:r>
        <w:rPr>
          <w:rFonts w:ascii="仿宋_GB2312" w:hAnsi="仿宋_GB2312" w:eastAsia="仿宋_GB2312" w:cs="仿宋_GB2312"/>
          <w:sz w:val="32"/>
          <w:szCs w:val="32"/>
        </w:rPr>
        <w:t>万元，社会保障和就业支出</w:t>
      </w:r>
      <w:r>
        <w:rPr>
          <w:rFonts w:ascii="仿宋_GB2312" w:hAnsi="仿宋_GB2312" w:eastAsia="仿宋_GB2312" w:cs="仿宋_GB2312"/>
          <w:spacing w:val="-8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5.81</w:t>
      </w:r>
      <w:r>
        <w:rPr>
          <w:rFonts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节能环保支出73.96万元，</w:t>
      </w:r>
      <w:r>
        <w:rPr>
          <w:rFonts w:ascii="仿宋_GB2312" w:hAnsi="仿宋_GB2312" w:eastAsia="仿宋_GB2312" w:cs="仿宋_GB2312"/>
          <w:sz w:val="32"/>
          <w:szCs w:val="32"/>
        </w:rPr>
        <w:t>医疗卫生与计划生育支出</w:t>
      </w:r>
      <w:r>
        <w:rPr>
          <w:rFonts w:ascii="仿宋_GB2312" w:hAnsi="仿宋_GB2312" w:eastAsia="仿宋_GB2312" w:cs="仿宋_GB2312"/>
          <w:spacing w:val="-8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3.19</w:t>
      </w:r>
      <w:r>
        <w:rPr>
          <w:rFonts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农林水</w:t>
      </w:r>
      <w:r>
        <w:rPr>
          <w:rFonts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188.02</w:t>
      </w:r>
      <w:r>
        <w:rPr>
          <w:rFonts w:ascii="仿宋_GB2312" w:hAnsi="仿宋_GB2312" w:eastAsia="仿宋_GB2312" w:cs="仿宋_GB2312"/>
          <w:sz w:val="32"/>
          <w:szCs w:val="32"/>
        </w:rPr>
        <w:t>万元。年初结转和结余</w:t>
      </w:r>
      <w:r>
        <w:rPr>
          <w:rFonts w:ascii="仿宋_GB2312" w:hAnsi="仿宋_GB2312" w:eastAsia="仿宋_GB2312" w:cs="仿宋_GB2312"/>
          <w:spacing w:val="-8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15.89</w:t>
      </w:r>
      <w:r>
        <w:rPr>
          <w:rFonts w:ascii="仿宋_GB2312" w:hAnsi="仿宋_GB2312" w:eastAsia="仿宋_GB2312" w:cs="仿宋_GB2312"/>
          <w:spacing w:val="-8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万元；年末结转和结余</w:t>
      </w:r>
      <w:r>
        <w:rPr>
          <w:rFonts w:ascii="仿宋_GB2312" w:hAnsi="仿宋_GB2312" w:eastAsia="仿宋_GB2312" w:cs="仿宋_GB2312"/>
          <w:spacing w:val="-8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18.9</w:t>
      </w:r>
      <w:r>
        <w:rPr>
          <w:rFonts w:ascii="仿宋_GB2312" w:hAnsi="仿宋_GB2312" w:eastAsia="仿宋_GB2312" w:cs="仿宋_GB2312"/>
          <w:sz w:val="32"/>
          <w:szCs w:val="32"/>
        </w:rPr>
        <w:t>万元。</w:t>
      </w:r>
    </w:p>
    <w:p>
      <w:pPr>
        <w:spacing w:after="0" w:line="360" w:lineRule="auto"/>
        <w:ind w:left="834" w:right="-23"/>
        <w:rPr>
          <w:sz w:val="15"/>
          <w:szCs w:val="15"/>
        </w:rPr>
      </w:pPr>
      <w:r>
        <w:rPr>
          <w:rFonts w:ascii="黑体" w:hAnsi="黑体" w:eastAsia="黑体" w:cs="黑体"/>
          <w:sz w:val="32"/>
          <w:szCs w:val="32"/>
        </w:rPr>
        <w:t>二、收入决算情况说明</w:t>
      </w:r>
    </w:p>
    <w:p>
      <w:pPr>
        <w:spacing w:before="50"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办事处</w:t>
      </w:r>
      <w:r>
        <w:rPr>
          <w:rFonts w:ascii="仿宋_GB2312" w:hAnsi="仿宋_GB2312" w:eastAsia="仿宋_GB2312" w:cs="仿宋_GB2312"/>
          <w:spacing w:val="-4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</w:t>
      </w:r>
      <w:r>
        <w:rPr>
          <w:rFonts w:ascii="仿宋_GB2312" w:hAnsi="仿宋_GB2312" w:eastAsia="仿宋_GB2312" w:cs="仿宋_GB2312"/>
          <w:spacing w:val="-41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年收入总计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543.93</w:t>
      </w:r>
      <w:r>
        <w:rPr>
          <w:rFonts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</w:t>
      </w:r>
      <w:r>
        <w:rPr>
          <w:rFonts w:ascii="仿宋_GB2312" w:hAnsi="仿宋_GB2312" w:eastAsia="仿宋_GB2312" w:cs="仿宋_GB2312"/>
          <w:spacing w:val="-41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年收入总计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573.12</w:t>
      </w:r>
      <w:r>
        <w:rPr>
          <w:rFonts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，减少收入29.19万元，主要因为办事处人员调出以及退休人员工资转出。</w:t>
      </w:r>
    </w:p>
    <w:p>
      <w:pPr>
        <w:spacing w:before="50" w:after="0" w:line="240" w:lineRule="auto"/>
        <w:ind w:left="834" w:right="-2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三、支出决算情况说明</w:t>
      </w:r>
    </w:p>
    <w:p>
      <w:pPr>
        <w:spacing w:before="3" w:after="0" w:line="150" w:lineRule="exact"/>
        <w:rPr>
          <w:sz w:val="15"/>
          <w:szCs w:val="15"/>
        </w:rPr>
      </w:pPr>
    </w:p>
    <w:p>
      <w:pPr>
        <w:widowControl/>
        <w:adjustRightInd w:val="0"/>
        <w:snapToGrid w:val="0"/>
        <w:spacing w:line="460" w:lineRule="exact"/>
        <w:ind w:firstLine="641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2018 年度本年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支出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合计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 xml:space="preserve">为 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540.91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万元，其中：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基本支出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250.09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46.24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%；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项目支出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290.82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53.76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%。如图所示：</w:t>
      </w:r>
    </w:p>
    <w:p>
      <w:pPr>
        <w:spacing w:before="48" w:after="0" w:line="240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drawing>
          <wp:inline distT="0" distB="0" distL="0" distR="0">
            <wp:extent cx="3133725" cy="1914525"/>
            <wp:effectExtent l="19050" t="0" r="9525" b="0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spacing w:before="48" w:after="0" w:line="240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before="48" w:after="0" w:line="240" w:lineRule="auto"/>
        <w:ind w:firstLine="640" w:firstLineChars="20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ascii="黑体" w:hAnsi="黑体" w:eastAsia="黑体" w:cs="黑体"/>
          <w:b/>
          <w:bCs/>
          <w:sz w:val="32"/>
          <w:szCs w:val="32"/>
        </w:rPr>
        <w:t>四、财政拨款收入支出决算情况说明</w:t>
      </w:r>
    </w:p>
    <w:p>
      <w:pPr>
        <w:widowControl/>
        <w:numPr>
          <w:ilvl w:val="0"/>
          <w:numId w:val="3"/>
        </w:numPr>
        <w:adjustRightInd w:val="0"/>
        <w:snapToGrid w:val="0"/>
        <w:spacing w:after="0" w:line="460" w:lineRule="exact"/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财政拨款收支与2017年度决算对比</w:t>
      </w:r>
    </w:p>
    <w:p>
      <w:pPr>
        <w:spacing w:before="50" w:after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 xml:space="preserve">2018年度财政拨款收入为 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543.93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万元，比2017年度减少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29.19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万元，减少17.61%，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主要原因是办事处人员调出以及退休人员工资转出。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本年支出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540.91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万元，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比2017年</w:t>
      </w:r>
      <w:bookmarkStart w:id="0" w:name="_GoBack"/>
      <w:bookmarkEnd w:id="0"/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度减少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16.98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万元，减少17.56%，主要原因同收入减少原因。如图所示：</w:t>
      </w:r>
    </w:p>
    <w:p>
      <w:pPr>
        <w:spacing w:before="50" w:after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0" distR="0">
            <wp:extent cx="4229100" cy="2476500"/>
            <wp:effectExtent l="19050" t="0" r="19050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widowControl/>
        <w:numPr>
          <w:ilvl w:val="0"/>
          <w:numId w:val="3"/>
        </w:numPr>
        <w:adjustRightInd w:val="0"/>
        <w:snapToGrid w:val="0"/>
        <w:spacing w:after="0" w:line="360" w:lineRule="auto"/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财政拨款收支与年初预算数对比情况</w:t>
      </w:r>
    </w:p>
    <w:p>
      <w:pPr>
        <w:widowControl/>
        <w:adjustRightInd w:val="0"/>
        <w:snapToGrid w:val="0"/>
        <w:spacing w:line="360" w:lineRule="auto"/>
        <w:ind w:firstLine="641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 xml:space="preserve">2018年度财政拨款收入为 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543.93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万元，比年初预算增加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19.87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万元，增长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3.79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%，主要原因是拆违、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南环治理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、环境卫生整治专项经费调剂增加、部分农村公益事业项目及农村道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路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建设项目审减；本年支出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540.91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万元，较年初预算增加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16.85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万元，增长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3.22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%，主要原因是收入增长原因以及年初结转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15.89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万元在本年形成支出。如图所示：</w:t>
      </w:r>
    </w:p>
    <w:p>
      <w:pPr>
        <w:spacing w:before="50" w:after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0" distR="0">
            <wp:extent cx="4000500" cy="1762125"/>
            <wp:effectExtent l="19050" t="0" r="19050" b="0"/>
            <wp:docPr id="16" name="图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>
      <w:pPr>
        <w:widowControl/>
        <w:adjustRightInd w:val="0"/>
        <w:snapToGrid w:val="0"/>
        <w:ind w:firstLine="643" w:firstLineChars="200"/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eastAsia="zh-CN"/>
        </w:rPr>
        <w:t>（三）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财政拨款支出决算结构情况</w:t>
      </w:r>
    </w:p>
    <w:p>
      <w:pPr>
        <w:tabs>
          <w:tab w:val="left" w:pos="7563"/>
        </w:tabs>
        <w:spacing w:after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财政拨款支出540.91</w:t>
      </w:r>
      <w:r>
        <w:rPr>
          <w:rFonts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主要用于</w:t>
      </w:r>
      <w:r>
        <w:rPr>
          <w:rFonts w:ascii="仿宋_GB2312" w:hAnsi="仿宋_GB2312" w:eastAsia="仿宋_GB2312" w:cs="仿宋_GB2312"/>
          <w:sz w:val="32"/>
          <w:szCs w:val="32"/>
        </w:rPr>
        <w:t>一般公共服务支出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270.94</w:t>
      </w:r>
      <w:r>
        <w:rPr>
          <w:rFonts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占50.09%，</w:t>
      </w:r>
      <w:r>
        <w:rPr>
          <w:rFonts w:ascii="仿宋_GB2312" w:hAnsi="仿宋_GB2312" w:eastAsia="仿宋_GB2312" w:cs="仿宋_GB2312"/>
          <w:sz w:val="32"/>
          <w:szCs w:val="32"/>
        </w:rPr>
        <w:t>社会保障和就业支出</w:t>
      </w:r>
      <w:r>
        <w:rPr>
          <w:rFonts w:ascii="仿宋_GB2312" w:hAnsi="仿宋_GB2312" w:eastAsia="仿宋_GB2312" w:cs="仿宋_GB2312"/>
          <w:spacing w:val="-8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5.81</w:t>
      </w:r>
      <w:r>
        <w:rPr>
          <w:rFonts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占1.07%，节能环保支出73.96万元，占13.67%，</w:t>
      </w:r>
      <w:r>
        <w:rPr>
          <w:rFonts w:ascii="仿宋_GB2312" w:hAnsi="仿宋_GB2312" w:eastAsia="仿宋_GB2312" w:cs="仿宋_GB2312"/>
          <w:sz w:val="32"/>
          <w:szCs w:val="32"/>
        </w:rPr>
        <w:t>医疗卫生与计划生育支出</w:t>
      </w:r>
      <w:r>
        <w:rPr>
          <w:rFonts w:ascii="仿宋_GB2312" w:hAnsi="仿宋_GB2312" w:eastAsia="仿宋_GB2312" w:cs="仿宋_GB2312"/>
          <w:spacing w:val="-8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3.19</w:t>
      </w:r>
      <w:r>
        <w:rPr>
          <w:rFonts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占0.59%，农林水</w:t>
      </w:r>
      <w:r>
        <w:rPr>
          <w:rFonts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188.02</w:t>
      </w:r>
      <w:r>
        <w:rPr>
          <w:rFonts w:ascii="仿宋_GB2312" w:hAnsi="仿宋_GB2312" w:eastAsia="仿宋_GB2312" w:cs="仿宋_GB2312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占34.76%，</w:t>
      </w:r>
      <w:r>
        <w:rPr>
          <w:rFonts w:hint="eastAsia" w:ascii="仿宋" w:hAnsi="仿宋" w:eastAsia="仿宋" w:cs="仿宋"/>
          <w:sz w:val="32"/>
          <w:szCs w:val="32"/>
        </w:rPr>
        <w:t>如图所示：</w:t>
      </w:r>
    </w:p>
    <w:p>
      <w:pPr>
        <w:spacing w:before="50" w:after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0" distR="0">
            <wp:extent cx="5435600" cy="3170555"/>
            <wp:effectExtent l="19050" t="0" r="12700" b="0"/>
            <wp:docPr id="17" name="图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>
      <w:pPr>
        <w:spacing w:line="530" w:lineRule="exact"/>
        <w:ind w:firstLine="643" w:firstLineChars="200"/>
        <w:rPr>
          <w:rFonts w:hint="eastAsia" w:ascii="楷体" w:hAnsi="楷体" w:eastAsia="楷体" w:cs="楷体"/>
          <w:b/>
          <w:bCs/>
          <w:sz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（四）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一般公共预算</w:t>
      </w:r>
      <w:r>
        <w:rPr>
          <w:rFonts w:hint="eastAsia" w:ascii="楷体" w:hAnsi="楷体" w:eastAsia="楷体" w:cs="楷体"/>
          <w:b/>
          <w:bCs/>
          <w:sz w:val="32"/>
        </w:rPr>
        <w:t>财政拨款基本支出决算情况说明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sz w:val="32"/>
        </w:rPr>
      </w:pPr>
      <w:r>
        <w:rPr>
          <w:rFonts w:hint="eastAsia" w:ascii="仿宋" w:hAnsi="仿宋" w:eastAsia="仿宋" w:cs="仿宋"/>
          <w:bCs/>
          <w:sz w:val="32"/>
        </w:rPr>
        <w:t>2018年度一般公共预算财政拨款基本支出</w:t>
      </w:r>
      <w:r>
        <w:rPr>
          <w:rFonts w:hint="eastAsia" w:ascii="仿宋" w:hAnsi="仿宋" w:eastAsia="仿宋" w:cs="仿宋"/>
          <w:bCs/>
          <w:sz w:val="32"/>
          <w:lang w:eastAsia="zh-CN"/>
        </w:rPr>
        <w:t>250.09</w:t>
      </w:r>
      <w:r>
        <w:rPr>
          <w:rFonts w:hint="eastAsia" w:ascii="仿宋" w:hAnsi="仿宋" w:eastAsia="仿宋" w:cs="仿宋"/>
          <w:bCs/>
          <w:sz w:val="32"/>
        </w:rPr>
        <w:t xml:space="preserve"> 万元，其中：人员经费</w:t>
      </w:r>
      <w:r>
        <w:rPr>
          <w:rFonts w:hint="eastAsia" w:ascii="仿宋" w:hAnsi="仿宋" w:eastAsia="仿宋" w:cs="仿宋"/>
          <w:bCs/>
          <w:sz w:val="32"/>
          <w:lang w:eastAsia="zh-CN"/>
        </w:rPr>
        <w:t>197.78</w:t>
      </w:r>
      <w:r>
        <w:rPr>
          <w:rFonts w:hint="eastAsia" w:ascii="仿宋" w:hAnsi="仿宋" w:eastAsia="仿宋" w:cs="仿宋"/>
          <w:bCs/>
          <w:sz w:val="32"/>
        </w:rPr>
        <w:t xml:space="preserve">万元，主要包括基本工资、津贴补贴、绩效工资、机关事业单位基本养老保险缴费和生活补助等；公用经费 </w:t>
      </w:r>
      <w:r>
        <w:rPr>
          <w:rFonts w:hint="eastAsia" w:ascii="仿宋" w:hAnsi="仿宋" w:eastAsia="仿宋" w:cs="仿宋"/>
          <w:bCs/>
          <w:sz w:val="32"/>
          <w:lang w:eastAsia="zh-CN"/>
        </w:rPr>
        <w:t>52.31</w:t>
      </w:r>
      <w:r>
        <w:rPr>
          <w:rFonts w:hint="eastAsia" w:ascii="仿宋" w:hAnsi="仿宋" w:eastAsia="仿宋" w:cs="仿宋"/>
          <w:bCs/>
          <w:sz w:val="32"/>
        </w:rPr>
        <w:t>万元，主要包括办公费、</w:t>
      </w:r>
      <w:r>
        <w:rPr>
          <w:rFonts w:hint="eastAsia" w:ascii="仿宋" w:hAnsi="仿宋" w:eastAsia="仿宋" w:cs="仿宋"/>
          <w:bCs/>
          <w:sz w:val="32"/>
          <w:lang w:eastAsia="zh-CN"/>
        </w:rPr>
        <w:t>电费</w:t>
      </w:r>
      <w:r>
        <w:rPr>
          <w:rFonts w:hint="eastAsia" w:ascii="仿宋" w:hAnsi="仿宋" w:eastAsia="仿宋" w:cs="仿宋"/>
          <w:bCs/>
          <w:sz w:val="32"/>
        </w:rPr>
        <w:t>、邮电费、</w:t>
      </w:r>
      <w:r>
        <w:rPr>
          <w:rFonts w:hint="eastAsia" w:ascii="仿宋" w:hAnsi="仿宋" w:eastAsia="仿宋" w:cs="仿宋"/>
          <w:bCs/>
          <w:sz w:val="32"/>
          <w:lang w:eastAsia="zh-CN"/>
        </w:rPr>
        <w:t>差旅费</w:t>
      </w:r>
      <w:r>
        <w:rPr>
          <w:rFonts w:hint="eastAsia" w:ascii="仿宋" w:hAnsi="仿宋" w:eastAsia="仿宋" w:cs="仿宋"/>
          <w:bCs/>
          <w:sz w:val="32"/>
        </w:rPr>
        <w:t>维修费、</w:t>
      </w:r>
      <w:r>
        <w:rPr>
          <w:rFonts w:hint="eastAsia" w:ascii="仿宋" w:hAnsi="仿宋" w:eastAsia="仿宋" w:cs="仿宋"/>
          <w:bCs/>
          <w:sz w:val="32"/>
          <w:lang w:eastAsia="zh-CN"/>
        </w:rPr>
        <w:t>会议费、培训费、</w:t>
      </w:r>
      <w:r>
        <w:rPr>
          <w:rFonts w:hint="eastAsia" w:ascii="仿宋" w:hAnsi="仿宋" w:eastAsia="仿宋" w:cs="仿宋"/>
          <w:bCs/>
          <w:sz w:val="32"/>
        </w:rPr>
        <w:t>公务接待费、公务用车运行维护费、其他交通费用、工会经费和办公设备购置</w:t>
      </w:r>
      <w:r>
        <w:rPr>
          <w:rFonts w:hint="eastAsia" w:ascii="仿宋" w:hAnsi="仿宋" w:eastAsia="仿宋" w:cs="仿宋"/>
          <w:bCs/>
          <w:sz w:val="32"/>
          <w:lang w:eastAsia="zh-CN"/>
        </w:rPr>
        <w:t>以及其他商品和服务支出费</w:t>
      </w:r>
      <w:r>
        <w:rPr>
          <w:rFonts w:hint="eastAsia" w:ascii="仿宋" w:hAnsi="仿宋" w:eastAsia="仿宋" w:cs="仿宋"/>
          <w:bCs/>
          <w:sz w:val="32"/>
        </w:rPr>
        <w:t>。</w:t>
      </w:r>
    </w:p>
    <w:p>
      <w:pPr>
        <w:spacing w:before="50" w:after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before="3" w:after="0" w:line="150" w:lineRule="exact"/>
        <w:rPr>
          <w:sz w:val="15"/>
          <w:szCs w:val="15"/>
        </w:rPr>
      </w:pPr>
    </w:p>
    <w:p>
      <w:pPr>
        <w:spacing w:after="0" w:line="240" w:lineRule="auto"/>
        <w:ind w:firstLine="640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五、一般公共预算财政拨款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“三公”经费支出决算情况说明</w:t>
      </w:r>
    </w:p>
    <w:p>
      <w:pPr>
        <w:spacing w:before="4" w:after="0" w:line="150" w:lineRule="exact"/>
        <w:rPr>
          <w:sz w:val="15"/>
          <w:szCs w:val="15"/>
        </w:rPr>
      </w:pPr>
    </w:p>
    <w:p>
      <w:pPr>
        <w:widowControl/>
        <w:adjustRightInd w:val="0"/>
        <w:snapToGrid w:val="0"/>
        <w:spacing w:line="360" w:lineRule="auto"/>
        <w:ind w:firstLine="641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" w:hAnsi="仿宋" w:eastAsia="仿宋" w:cs="仿宋_GB2312"/>
          <w:sz w:val="32"/>
          <w:szCs w:val="32"/>
        </w:rPr>
        <w:t>201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8</w:t>
      </w:r>
      <w:r>
        <w:rPr>
          <w:rFonts w:ascii="仿宋" w:hAnsi="仿宋" w:eastAsia="仿宋" w:cs="仿宋_GB2312"/>
          <w:sz w:val="32"/>
          <w:szCs w:val="32"/>
        </w:rPr>
        <w:t xml:space="preserve"> 年我</w:t>
      </w:r>
      <w:r>
        <w:rPr>
          <w:rFonts w:hint="eastAsia" w:ascii="仿宋" w:hAnsi="仿宋" w:eastAsia="仿宋" w:cs="仿宋_GB2312"/>
          <w:spacing w:val="-134"/>
          <w:sz w:val="32"/>
          <w:szCs w:val="32"/>
          <w:lang w:eastAsia="zh-CN"/>
        </w:rPr>
        <w:t>办      事     处</w:t>
      </w:r>
      <w:r>
        <w:rPr>
          <w:rFonts w:ascii="仿宋" w:hAnsi="仿宋" w:eastAsia="仿宋" w:cs="仿宋_GB2312"/>
          <w:sz w:val="32"/>
          <w:szCs w:val="32"/>
        </w:rPr>
        <w:t>“三公</w:t>
      </w:r>
      <w:r>
        <w:rPr>
          <w:rFonts w:ascii="仿宋" w:hAnsi="仿宋" w:eastAsia="仿宋" w:cs="仿宋_GB2312"/>
          <w:spacing w:val="-135"/>
          <w:sz w:val="32"/>
          <w:szCs w:val="32"/>
        </w:rPr>
        <w:t>”</w:t>
      </w:r>
      <w:r>
        <w:rPr>
          <w:rFonts w:ascii="仿宋" w:hAnsi="仿宋" w:eastAsia="仿宋" w:cs="仿宋_GB2312"/>
          <w:sz w:val="32"/>
          <w:szCs w:val="32"/>
        </w:rPr>
        <w:t>经费实际支出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5.35万</w:t>
      </w:r>
      <w:r>
        <w:rPr>
          <w:rFonts w:ascii="仿宋" w:hAnsi="仿宋" w:eastAsia="仿宋" w:cs="仿宋_GB2312"/>
          <w:sz w:val="32"/>
          <w:szCs w:val="32"/>
        </w:rPr>
        <w:t>元，比年初预算数减少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3.05万</w:t>
      </w:r>
      <w:r>
        <w:rPr>
          <w:rFonts w:ascii="仿宋" w:hAnsi="仿宋" w:eastAsia="仿宋" w:cs="仿宋_GB2312"/>
          <w:sz w:val="32"/>
          <w:szCs w:val="32"/>
        </w:rPr>
        <w:t>元，下降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36.3</w:t>
      </w:r>
      <w:r>
        <w:rPr>
          <w:rFonts w:ascii="仿宋" w:hAnsi="仿宋" w:eastAsia="仿宋" w:cs="仿宋_GB2312"/>
          <w:sz w:val="32"/>
          <w:szCs w:val="32"/>
        </w:rPr>
        <w:t>%，主要原因是严格落实中</w:t>
      </w:r>
      <w:r>
        <w:rPr>
          <w:rFonts w:ascii="仿宋" w:hAnsi="仿宋" w:eastAsia="仿宋" w:cs="仿宋_GB2312"/>
          <w:spacing w:val="-2"/>
          <w:sz w:val="32"/>
          <w:szCs w:val="32"/>
        </w:rPr>
        <w:t>央</w:t>
      </w:r>
      <w:r>
        <w:rPr>
          <w:rFonts w:ascii="仿宋" w:hAnsi="仿宋" w:eastAsia="仿宋" w:cs="仿宋_GB2312"/>
          <w:sz w:val="32"/>
          <w:szCs w:val="32"/>
        </w:rPr>
        <w:t>八项规定、公务用车改革</w:t>
      </w:r>
      <w:r>
        <w:rPr>
          <w:rFonts w:ascii="仿宋" w:hAnsi="仿宋" w:eastAsia="仿宋" w:cs="仿宋_GB2312"/>
          <w:spacing w:val="-2"/>
          <w:sz w:val="32"/>
          <w:szCs w:val="32"/>
        </w:rPr>
        <w:t>，</w:t>
      </w:r>
      <w:r>
        <w:rPr>
          <w:rFonts w:ascii="仿宋" w:hAnsi="仿宋" w:eastAsia="仿宋" w:cs="仿宋_GB2312"/>
          <w:sz w:val="32"/>
          <w:szCs w:val="32"/>
        </w:rPr>
        <w:t>厉 行节约，严格审核和控制“三公”经费支出。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支出具体情况：</w:t>
      </w:r>
      <w:r>
        <w:rPr>
          <w:rFonts w:ascii="仿宋" w:hAnsi="仿宋" w:eastAsia="仿宋" w:cs="仿宋_GB2312"/>
          <w:sz w:val="32"/>
          <w:szCs w:val="32"/>
        </w:rPr>
        <w:t>因公出国（境）费</w:t>
      </w:r>
      <w:r>
        <w:rPr>
          <w:rFonts w:ascii="仿宋" w:hAnsi="仿宋" w:eastAsia="仿宋" w:cs="仿宋_GB2312"/>
          <w:spacing w:val="-80"/>
          <w:sz w:val="32"/>
          <w:szCs w:val="32"/>
        </w:rPr>
        <w:t xml:space="preserve"> </w:t>
      </w:r>
      <w:r>
        <w:rPr>
          <w:rFonts w:ascii="仿宋" w:hAnsi="仿宋" w:eastAsia="仿宋" w:cs="仿宋_GB2312"/>
          <w:sz w:val="32"/>
          <w:szCs w:val="32"/>
        </w:rPr>
        <w:t>0</w:t>
      </w:r>
      <w:r>
        <w:rPr>
          <w:rFonts w:ascii="仿宋" w:hAnsi="仿宋" w:eastAsia="仿宋" w:cs="仿宋_GB2312"/>
          <w:spacing w:val="-81"/>
          <w:sz w:val="32"/>
          <w:szCs w:val="32"/>
        </w:rPr>
        <w:t xml:space="preserve"> </w:t>
      </w:r>
      <w:r>
        <w:rPr>
          <w:rFonts w:ascii="仿宋" w:hAnsi="仿宋" w:eastAsia="仿宋" w:cs="仿宋_GB2312"/>
          <w:sz w:val="32"/>
          <w:szCs w:val="32"/>
        </w:rPr>
        <w:t>万元、 公务用车运行维护费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4.4</w:t>
      </w:r>
      <w:r>
        <w:rPr>
          <w:rFonts w:ascii="仿宋" w:hAnsi="仿宋" w:eastAsia="仿宋" w:cs="仿宋_GB2312"/>
          <w:sz w:val="32"/>
          <w:szCs w:val="32"/>
        </w:rPr>
        <w:t>万元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较年初预算压减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0.82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 xml:space="preserve"> 万元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主要是严格把控公务用车管理，公务用车运行费用相应减少；</w:t>
      </w:r>
      <w:r>
        <w:rPr>
          <w:rFonts w:ascii="仿宋" w:hAnsi="仿宋" w:eastAsia="仿宋" w:cs="仿宋_GB2312"/>
          <w:sz w:val="32"/>
          <w:szCs w:val="32"/>
        </w:rPr>
        <w:t>公务接待费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0.95万</w:t>
      </w:r>
      <w:r>
        <w:rPr>
          <w:rFonts w:ascii="仿宋" w:hAnsi="仿宋" w:eastAsia="仿宋" w:cs="仿宋_GB2312"/>
          <w:sz w:val="32"/>
          <w:szCs w:val="32"/>
        </w:rPr>
        <w:t>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 xml:space="preserve">较年初预算压减 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  <w:lang w:eastAsia="zh-CN"/>
        </w:rPr>
        <w:t>2.23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万元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主要是积极贯彻落实中央和上级部门关于厉行节约的要求，严控公务接待费支出。</w:t>
      </w:r>
    </w:p>
    <w:p>
      <w:pPr>
        <w:spacing w:before="4" w:after="0" w:line="360" w:lineRule="auto"/>
        <w:rPr>
          <w:rFonts w:ascii="仿宋" w:hAnsi="仿宋" w:eastAsia="仿宋"/>
          <w:sz w:val="15"/>
          <w:szCs w:val="15"/>
        </w:rPr>
      </w:pPr>
    </w:p>
    <w:p>
      <w:pPr>
        <w:spacing w:after="0" w:line="360" w:lineRule="auto"/>
        <w:ind w:left="834" w:right="-2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六、预算绩效情况说明</w:t>
      </w:r>
    </w:p>
    <w:p>
      <w:pPr>
        <w:spacing w:after="0" w:line="360" w:lineRule="auto"/>
        <w:ind w:right="-20" w:firstLine="480" w:firstLineChars="150"/>
        <w:rPr>
          <w:rFonts w:hint="eastAsia" w:ascii="仿宋" w:hAnsi="仿宋" w:eastAsia="仿宋" w:cs="黑体"/>
          <w:sz w:val="32"/>
          <w:szCs w:val="32"/>
          <w:lang w:eastAsia="zh-CN"/>
        </w:rPr>
      </w:pPr>
      <w:r>
        <w:rPr>
          <w:rFonts w:hint="eastAsia" w:ascii="仿宋" w:hAnsi="仿宋" w:eastAsia="仿宋" w:cs="黑体"/>
          <w:sz w:val="32"/>
          <w:szCs w:val="32"/>
          <w:lang w:eastAsia="zh-CN"/>
        </w:rPr>
        <w:t>（一）、预算绩效开展情况</w:t>
      </w:r>
    </w:p>
    <w:p>
      <w:pPr>
        <w:spacing w:before="3" w:after="0" w:line="360" w:lineRule="auto"/>
        <w:rPr>
          <w:rFonts w:ascii="仿宋" w:hAnsi="仿宋" w:eastAsia="仿宋"/>
          <w:sz w:val="15"/>
          <w:szCs w:val="15"/>
        </w:rPr>
      </w:pPr>
    </w:p>
    <w:p>
      <w:pPr>
        <w:pStyle w:val="5"/>
        <w:widowControl/>
        <w:numPr>
          <w:ilvl w:val="0"/>
          <w:numId w:val="4"/>
        </w:numPr>
        <w:shd w:val="clear" w:color="auto" w:fill="FFFFFF"/>
        <w:adjustRightInd w:val="0"/>
        <w:snapToGrid w:val="0"/>
        <w:spacing w:beforeAutospacing="0" w:afterAutospacing="0" w:line="360" w:lineRule="auto"/>
        <w:ind w:firstLine="640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根据上级财政部门预算绩效管理要求，我部门以“部门职责—工作活动”为依据，经党政联席会议讨论研究，确定预算项目和预算额度，清晰描述预算项目开支范围和内容，确定预算项目的绩效目标、绩效指标和评价标准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2" w:firstLineChars="150"/>
        <w:rPr>
          <w:rFonts w:hint="eastAsia" w:ascii="仿宋" w:hAnsi="仿宋" w:eastAsia="仿宋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楷体"/>
          <w:b/>
          <w:bCs/>
          <w:color w:val="000000"/>
          <w:sz w:val="32"/>
          <w:szCs w:val="32"/>
          <w:shd w:val="clear" w:color="auto" w:fill="FFFFFF"/>
        </w:rPr>
        <w:t>（二）项目绩效自评情况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1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办事处党委书记总负责，成立以办事处主任任组长，主管财政副职、办事处纪委书记为副组长、业务科室主要人员为成员的绩效自评工作小组，</w:t>
      </w:r>
      <w:r>
        <w:rPr>
          <w:rFonts w:hint="eastAsia" w:ascii="仿宋" w:hAnsi="仿宋" w:eastAsia="仿宋" w:cs="仿宋_GB2312"/>
          <w:sz w:val="32"/>
          <w:szCs w:val="32"/>
        </w:rPr>
        <w:t>统筹组织开展绩效评价工作，讨论确定指标权重和指标标准值。通过查阅单位相关数据、抽查各项目支出记录、对补贴对象的跟踪调查、询问问卷等途径，获得各项绩效指标实际值。经查验，预算项目全面，各项目开支范围和内容合理，补贴类资金发放及时，农村公益事业项目建设符合群众意愿，群众满意度较高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0"/>
        <w:rPr>
          <w:rFonts w:hint="eastAsia" w:ascii="仿宋" w:hAnsi="仿宋" w:eastAsia="仿宋" w:cs="仿宋_GB2312"/>
          <w:sz w:val="32"/>
          <w:szCs w:val="32"/>
        </w:rPr>
      </w:pP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641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通过实施预算项目绩效评价发现，预算项目绩效目标设定还需进一步详尽和完善，绩效指标应充分体现“结果”导向原则，绩效管理机制还需进一步完善，加强监督，确保预算项目资金合理性分配，</w:t>
      </w:r>
      <w:r>
        <w:rPr>
          <w:rFonts w:ascii="仿宋" w:hAnsi="仿宋" w:eastAsia="仿宋" w:cs="仿宋_GB2312"/>
          <w:sz w:val="32"/>
          <w:szCs w:val="32"/>
        </w:rPr>
        <w:t>以达到合理高效地运用资金、提升资金的产出结果、节约成本与资源、提高部门的办事效率的目的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</w:p>
    <w:p>
      <w:pPr>
        <w:numPr>
          <w:numId w:val="0"/>
        </w:numPr>
        <w:spacing w:before="50" w:after="0" w:line="360" w:lineRule="auto"/>
        <w:ind w:right="-20" w:rightChars="0"/>
        <w:rPr>
          <w:rFonts w:hint="eastAsia"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其他重要事项的说明</w:t>
      </w:r>
    </w:p>
    <w:p>
      <w:pPr>
        <w:pStyle w:val="9"/>
        <w:numPr>
          <w:ilvl w:val="0"/>
          <w:numId w:val="5"/>
        </w:numPr>
        <w:adjustRightInd w:val="0"/>
        <w:snapToGrid w:val="0"/>
        <w:spacing w:line="360" w:lineRule="auto"/>
        <w:ind w:firstLineChars="0"/>
        <w:rPr>
          <w:rFonts w:hint="eastAsia" w:ascii="仿宋" w:hAnsi="仿宋" w:eastAsia="仿宋" w:cs="楷体"/>
          <w:b/>
          <w:bCs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sz w:val="32"/>
          <w:szCs w:val="32"/>
        </w:rPr>
        <w:t>机关运行经费情况</w:t>
      </w:r>
    </w:p>
    <w:p>
      <w:pPr>
        <w:adjustRightInd w:val="0"/>
        <w:snapToGrid w:val="0"/>
        <w:spacing w:line="360" w:lineRule="auto"/>
        <w:ind w:firstLine="480" w:firstLineChars="15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2018年度机关运行经费支出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52.31</w:t>
      </w:r>
      <w:r>
        <w:rPr>
          <w:rFonts w:hint="eastAsia" w:ascii="仿宋" w:hAnsi="仿宋" w:eastAsia="仿宋" w:cs="仿宋_GB2312"/>
          <w:sz w:val="32"/>
          <w:szCs w:val="32"/>
        </w:rPr>
        <w:t>万元，较年初预算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4.5</w:t>
      </w:r>
      <w:r>
        <w:rPr>
          <w:rFonts w:hint="eastAsia" w:ascii="仿宋" w:hAnsi="仿宋" w:eastAsia="仿宋" w:cs="仿宋_GB2312"/>
          <w:sz w:val="32"/>
          <w:szCs w:val="32"/>
        </w:rPr>
        <w:t>万元，主要原因是机关公务员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调出</w:t>
      </w:r>
      <w:r>
        <w:rPr>
          <w:rFonts w:hint="eastAsia" w:ascii="仿宋" w:hAnsi="仿宋" w:eastAsia="仿宋" w:cs="仿宋_GB2312"/>
          <w:sz w:val="32"/>
          <w:szCs w:val="32"/>
        </w:rPr>
        <w:t>公务交通补贴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减少以及三公压减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482" w:firstLineChars="150"/>
        <w:rPr>
          <w:rFonts w:hint="eastAsia" w:ascii="仿宋" w:hAnsi="仿宋" w:eastAsia="仿宋" w:cs="楷体"/>
          <w:b/>
          <w:bCs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>政府采购情况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2018年政府采购支出金额为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33.85</w:t>
      </w:r>
      <w:r>
        <w:rPr>
          <w:rFonts w:hint="eastAsia" w:ascii="仿宋" w:hAnsi="仿宋" w:eastAsia="仿宋" w:cs="仿宋_GB2312"/>
          <w:sz w:val="32"/>
          <w:szCs w:val="32"/>
        </w:rPr>
        <w:t xml:space="preserve"> 万元，采购类型为工程采购，项目数量1个，项目名称为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美丽乡村南杜办前霍照街道硬化工程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482" w:firstLineChars="150"/>
        <w:rPr>
          <w:rFonts w:hint="eastAsia" w:ascii="仿宋" w:hAnsi="仿宋" w:eastAsia="仿宋" w:cs="楷体"/>
          <w:b/>
          <w:bCs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>国有资产占用情况</w:t>
      </w:r>
    </w:p>
    <w:p>
      <w:pPr>
        <w:adjustRightInd w:val="0"/>
        <w:snapToGrid w:val="0"/>
        <w:spacing w:line="360" w:lineRule="auto"/>
        <w:ind w:firstLine="641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截止2018年12月31日，本部门共有车辆1辆，为一般公务用车。单价50万元以上的设备0台（套），单价100万元以上的设备0台（套），与上年持平；固定资产合计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151.76</w:t>
      </w:r>
      <w:r>
        <w:rPr>
          <w:rFonts w:hint="eastAsia" w:ascii="仿宋" w:hAnsi="仿宋" w:eastAsia="仿宋" w:cs="仿宋_GB2312"/>
          <w:sz w:val="32"/>
          <w:szCs w:val="32"/>
        </w:rPr>
        <w:t>万元，其中：房屋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77.44</w:t>
      </w:r>
      <w:r>
        <w:rPr>
          <w:rFonts w:hint="eastAsia" w:ascii="仿宋" w:hAnsi="仿宋" w:eastAsia="仿宋" w:cs="仿宋_GB2312"/>
          <w:sz w:val="32"/>
          <w:szCs w:val="32"/>
        </w:rPr>
        <w:t>万元、车辆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16.16</w:t>
      </w:r>
      <w:r>
        <w:rPr>
          <w:rFonts w:hint="eastAsia" w:ascii="仿宋" w:hAnsi="仿宋" w:eastAsia="仿宋" w:cs="仿宋_GB2312"/>
          <w:sz w:val="32"/>
          <w:szCs w:val="32"/>
        </w:rPr>
        <w:t xml:space="preserve">万元、其他固定资产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58.16</w:t>
      </w:r>
      <w:r>
        <w:rPr>
          <w:rFonts w:hint="eastAsia" w:ascii="仿宋" w:hAnsi="仿宋" w:eastAsia="仿宋" w:cs="仿宋_GB2312"/>
          <w:sz w:val="32"/>
          <w:szCs w:val="32"/>
        </w:rPr>
        <w:t>万元（主要为通用设备、专用设备、办公家具及用具、装具等）。</w:t>
      </w:r>
    </w:p>
    <w:p>
      <w:pPr>
        <w:adjustRightInd w:val="0"/>
        <w:snapToGrid w:val="0"/>
        <w:spacing w:line="360" w:lineRule="auto"/>
        <w:ind w:firstLine="482" w:firstLineChars="150"/>
        <w:rPr>
          <w:rFonts w:hint="eastAsia" w:ascii="仿宋" w:hAnsi="仿宋" w:eastAsia="仿宋" w:cs="楷体"/>
          <w:b/>
          <w:bCs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>其他需要说明的问题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1、我部门不涉及《政府性基金预算财政拨款收入支出决算表》 和《国有资本经营预算财政拨款收入支出决算表》，因此以空表列示。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2、由于决算公开表格中金额数值应当保留两位小数，公开数据为四舍五入计算结果，个别数据合计项与分项之和存在小数点后差额，特此说明。</w:t>
      </w:r>
    </w:p>
    <w:p>
      <w:pPr>
        <w:spacing w:after="0" w:line="360" w:lineRule="auto"/>
        <w:rPr>
          <w:rFonts w:ascii="仿宋" w:hAnsi="仿宋" w:eastAsia="仿宋"/>
          <w:sz w:val="20"/>
          <w:szCs w:val="20"/>
        </w:rPr>
      </w:pPr>
    </w:p>
    <w:p>
      <w:pPr>
        <w:spacing w:after="0" w:line="360" w:lineRule="auto"/>
        <w:rPr>
          <w:rFonts w:ascii="仿宋" w:hAnsi="仿宋" w:eastAsia="仿宋"/>
          <w:sz w:val="20"/>
          <w:szCs w:val="20"/>
        </w:rPr>
      </w:pPr>
    </w:p>
    <w:p>
      <w:pPr>
        <w:spacing w:before="12" w:after="0" w:line="360" w:lineRule="auto"/>
        <w:rPr>
          <w:rFonts w:ascii="仿宋" w:hAnsi="仿宋" w:eastAsia="仿宋"/>
          <w:sz w:val="26"/>
          <w:szCs w:val="26"/>
        </w:rPr>
      </w:pPr>
    </w:p>
    <w:p>
      <w:pPr>
        <w:adjustRightInd w:val="0"/>
        <w:snapToGrid w:val="0"/>
        <w:spacing w:after="0" w:line="360" w:lineRule="auto"/>
        <w:jc w:val="center"/>
        <w:rPr>
          <w:rFonts w:hint="eastAsia" w:ascii="仿宋" w:hAnsi="仿宋" w:eastAsia="仿宋" w:cs="宋体"/>
          <w:b/>
          <w:bCs/>
          <w:sz w:val="40"/>
          <w:szCs w:val="40"/>
        </w:rPr>
      </w:pPr>
      <w:r>
        <w:rPr>
          <w:rFonts w:ascii="仿宋" w:hAnsi="仿宋" w:eastAsia="仿宋" w:cs="微软雅黑"/>
          <w:spacing w:val="-1"/>
          <w:position w:val="1"/>
          <w:sz w:val="44"/>
          <w:szCs w:val="44"/>
        </w:rPr>
        <w:t>第四部</w:t>
      </w:r>
      <w:r>
        <w:rPr>
          <w:rFonts w:ascii="仿宋" w:hAnsi="仿宋" w:eastAsia="仿宋" w:cs="微软雅黑"/>
          <w:position w:val="1"/>
          <w:sz w:val="44"/>
          <w:szCs w:val="44"/>
        </w:rPr>
        <w:t>分</w:t>
      </w:r>
      <w:r>
        <w:rPr>
          <w:rFonts w:ascii="仿宋" w:hAnsi="仿宋" w:eastAsia="仿宋" w:cs="微软雅黑"/>
          <w:position w:val="1"/>
          <w:sz w:val="44"/>
          <w:szCs w:val="44"/>
        </w:rPr>
        <w:tab/>
      </w:r>
      <w:r>
        <w:rPr>
          <w:rFonts w:hint="eastAsia" w:ascii="仿宋" w:hAnsi="仿宋" w:eastAsia="仿宋" w:cs="宋体"/>
          <w:b/>
          <w:bCs/>
          <w:sz w:val="40"/>
          <w:szCs w:val="40"/>
        </w:rPr>
        <w:t>名词解释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宋体"/>
          <w:b/>
          <w:bCs/>
          <w:sz w:val="40"/>
          <w:szCs w:val="40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 w:cs="宋体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一、财政拨款收入</w:t>
      </w:r>
      <w:r>
        <w:rPr>
          <w:rFonts w:hint="eastAsia" w:ascii="仿宋" w:hAnsi="仿宋" w:eastAsia="仿宋" w:cs="仿宋_GB2312"/>
          <w:sz w:val="32"/>
          <w:szCs w:val="32"/>
        </w:rPr>
        <w:t xml:space="preserve">：本年度从本级财政部门取得的财政拨款，包括一般公共预算财政拨款和政府性基金预算财政拨款。 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二、事业收入</w:t>
      </w:r>
      <w:r>
        <w:rPr>
          <w:rFonts w:hint="eastAsia" w:ascii="仿宋" w:hAnsi="仿宋" w:eastAsia="仿宋" w:cs="仿宋_GB2312"/>
          <w:sz w:val="32"/>
          <w:szCs w:val="32"/>
        </w:rPr>
        <w:t>：指事业单位开展专业业务活动及辅助活动所 取得的收入。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三、其他收入</w:t>
      </w:r>
      <w:r>
        <w:rPr>
          <w:rFonts w:hint="eastAsia" w:ascii="仿宋" w:hAnsi="仿宋" w:eastAsia="仿宋" w:cs="仿宋_GB2312"/>
          <w:sz w:val="32"/>
          <w:szCs w:val="32"/>
        </w:rPr>
        <w:t>：指除上述“财政拨款收入”、“事业收入”、 “经营收入”等以外的收入。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四、用事业基金弥补收支差额：</w:t>
      </w:r>
      <w:r>
        <w:rPr>
          <w:rFonts w:hint="eastAsia" w:ascii="仿宋" w:hAnsi="仿宋" w:eastAsia="仿宋" w:cs="仿宋_GB2312"/>
          <w:sz w:val="32"/>
          <w:szCs w:val="32"/>
        </w:rPr>
        <w:t>指事业单位在用当年的“财 政拨款收入”、“财政拨款结转和结余资金”、“事业收入”、“经营收入”、“其他收入”不足以安排当年支出的情况下，使用以前年 度积累的事业基金（事业单位当年收支相抵后按国家规定提取、用于弥补以后年度收支差额的基金）弥补本年度收支缺口的资金。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五、年初结转和结余：</w:t>
      </w:r>
      <w:r>
        <w:rPr>
          <w:rFonts w:hint="eastAsia" w:ascii="仿宋" w:hAnsi="仿宋" w:eastAsia="仿宋" w:cs="仿宋_GB2312"/>
          <w:sz w:val="32"/>
          <w:szCs w:val="32"/>
        </w:rPr>
        <w:t>指以前年度尚未完成、结转到本年仍 按原规定用途继续使用的资金，或项目已完成等产生的结余资金。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六、结余分配：</w:t>
      </w:r>
      <w:r>
        <w:rPr>
          <w:rFonts w:hint="eastAsia" w:ascii="仿宋" w:hAnsi="仿宋" w:eastAsia="仿宋" w:cs="仿宋_GB2312"/>
          <w:sz w:val="32"/>
          <w:szCs w:val="32"/>
        </w:rPr>
        <w:t>指事业单位按照事业单位会计制度的规定从 非财政补助结余中分配的事业基金和职工福利基金等。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七、年末结转和结余：</w:t>
      </w:r>
      <w:r>
        <w:rPr>
          <w:rFonts w:hint="eastAsia" w:ascii="仿宋" w:hAnsi="仿宋" w:eastAsia="仿宋" w:cs="仿宋_GB2312"/>
          <w:sz w:val="32"/>
          <w:szCs w:val="32"/>
        </w:rPr>
        <w:t>指单位按有关规定结转到下年或以后 年度继续使用的资金，或项目已完成等产生的结余资金。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八、基本支出：</w:t>
      </w:r>
      <w:r>
        <w:rPr>
          <w:rFonts w:hint="eastAsia" w:ascii="仿宋" w:hAnsi="仿宋" w:eastAsia="仿宋" w:cs="仿宋_GB2312"/>
          <w:sz w:val="32"/>
          <w:szCs w:val="32"/>
        </w:rPr>
        <w:t>填列单位为保障机构正常运转、完成日常工 作任务而发生的各项支出。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九、项目支出：</w:t>
      </w:r>
      <w:r>
        <w:rPr>
          <w:rFonts w:hint="eastAsia" w:ascii="仿宋" w:hAnsi="仿宋" w:eastAsia="仿宋" w:cs="仿宋_GB2312"/>
          <w:sz w:val="32"/>
          <w:szCs w:val="32"/>
        </w:rPr>
        <w:t>填列单位为完成特定的行政工作任务或事业 发展目标，在基本支出之外发生的各项支出。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十、资本性支出</w:t>
      </w:r>
      <w:r>
        <w:rPr>
          <w:rFonts w:hint="eastAsia" w:ascii="仿宋" w:hAnsi="仿宋" w:eastAsia="仿宋" w:cs="仿宋_GB2312"/>
          <w:sz w:val="32"/>
          <w:szCs w:val="32"/>
        </w:rPr>
        <w:t>：填列各单位安排的资本性支出。切块由发展改革部门安排的基本建设支出不在此科目反映。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十一、“三公”经费：</w:t>
      </w:r>
      <w:r>
        <w:rPr>
          <w:rFonts w:hint="eastAsia" w:ascii="仿宋" w:hAnsi="仿宋" w:eastAsia="仿宋" w:cs="仿宋_GB2312"/>
          <w:sz w:val="32"/>
          <w:szCs w:val="32"/>
        </w:rPr>
        <w:t>指部门用财政拨款安排的因公出国（境） 费、公务用车购置及运行费和公务接待费。其中，因公出国（境） 费反映单位公务出国（境）的国际旅费、国外城市间交通费、住宿费、伙食费、培训费、公杂费等支出；公务用车购置及运行费 反映单位公务用车购置支出（含车辆购置税）及租用费、燃料费、维修费、过路过桥费、保险费、安全奖励费用等支出；公务接待 费反映单位按规定开支的各类公务接待（含外宾接待）支出。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十二、其他交通费用：</w:t>
      </w:r>
      <w:r>
        <w:rPr>
          <w:rFonts w:hint="eastAsia" w:ascii="仿宋" w:hAnsi="仿宋" w:eastAsia="仿宋" w:cs="仿宋_GB2312"/>
          <w:sz w:val="32"/>
          <w:szCs w:val="32"/>
        </w:rPr>
        <w:t>填列单位除公务用车运行维护费以外 的其他交通费用。如飞机、船舶等的燃料费、维修费、过桥过路 38 费、保险费、出租车费用、公务交通补贴等。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十三、公务用车购置：</w:t>
      </w:r>
      <w:r>
        <w:rPr>
          <w:rFonts w:hint="eastAsia" w:ascii="仿宋" w:hAnsi="仿宋" w:eastAsia="仿宋" w:cs="仿宋_GB2312"/>
          <w:sz w:val="32"/>
          <w:szCs w:val="32"/>
        </w:rPr>
        <w:t>填列单位公务用车车辆购置支出（含 车辆购置税）。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十四、机关运行经费：</w:t>
      </w:r>
      <w:r>
        <w:rPr>
          <w:rFonts w:hint="eastAsia" w:ascii="仿宋" w:hAnsi="仿宋" w:eastAsia="仿宋" w:cs="仿宋_GB2312"/>
          <w:sz w:val="32"/>
          <w:szCs w:val="32"/>
        </w:rPr>
        <w:t>指为保障行政单位（包括参照公务员 法管理的事业单位）运行用于购买货物和服务的各项资金，包括 办公及印刷费、邮电费、差旅费、会议费、福利费、日常维修费、专用材料以及一般设备购置费、办公用房水电费、办公用房取暖费、办公用房物业管理费、公务用车运行维护费以及其他费用。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十五、经费形式:</w:t>
      </w:r>
      <w:r>
        <w:rPr>
          <w:rFonts w:hint="eastAsia" w:ascii="仿宋" w:hAnsi="仿宋" w:eastAsia="仿宋" w:cs="仿宋_GB2312"/>
          <w:sz w:val="32"/>
          <w:szCs w:val="32"/>
        </w:rPr>
        <w:t>按照经费来源，可分为财政拨款、财政性资金基本保证、财政性资金定额或定项补助、财政性资金零补助四类。</w:t>
      </w:r>
    </w:p>
    <w:p>
      <w:pPr>
        <w:spacing w:line="360" w:lineRule="auto"/>
        <w:rPr>
          <w:rFonts w:ascii="仿宋" w:hAnsi="仿宋" w:eastAsia="仿宋"/>
        </w:rPr>
      </w:pPr>
    </w:p>
    <w:p>
      <w:pPr>
        <w:tabs>
          <w:tab w:val="left" w:pos="4800"/>
        </w:tabs>
        <w:spacing w:after="0" w:line="360" w:lineRule="auto"/>
        <w:ind w:left="2613" w:right="-20"/>
        <w:rPr>
          <w:rFonts w:ascii="仿宋" w:hAnsi="仿宋" w:eastAsia="仿宋" w:cs="仿宋_GB2312"/>
          <w:sz w:val="32"/>
          <w:szCs w:val="32"/>
          <w:lang w:eastAsia="zh-CN"/>
        </w:rPr>
      </w:pPr>
    </w:p>
    <w:sectPr>
      <w:pgSz w:w="11920" w:h="16840"/>
      <w:pgMar w:top="1474" w:right="1680" w:bottom="1474" w:left="1680" w:header="720" w:footer="720" w:gutter="0"/>
      <w:cols w:equalWidth="0" w:num="1">
        <w:col w:w="8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eastAsia="宋体"/>
                    <w:sz w:val="18"/>
                    <w:lang w:eastAsia="zh-CN"/>
                  </w:rPr>
                </w:pPr>
                <w:r>
                  <w:rPr>
                    <w:rFonts w:hint="eastAsia" w:eastAsia="宋体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 w:eastAsia="宋体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eastAsia="宋体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 w:eastAsia="宋体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5AB911"/>
    <w:multiLevelType w:val="singleLevel"/>
    <w:tmpl w:val="925AB911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B41DE808"/>
    <w:multiLevelType w:val="singleLevel"/>
    <w:tmpl w:val="B41DE808"/>
    <w:lvl w:ilvl="0" w:tentative="0">
      <w:start w:val="2"/>
      <w:numFmt w:val="chineseCounting"/>
      <w:lvlText w:val="第%1部分"/>
      <w:lvlJc w:val="left"/>
      <w:rPr>
        <w:rFonts w:hint="eastAsia"/>
      </w:rPr>
    </w:lvl>
  </w:abstractNum>
  <w:abstractNum w:abstractNumId="2">
    <w:nsid w:val="351D5AE2"/>
    <w:multiLevelType w:val="multilevel"/>
    <w:tmpl w:val="351D5AE2"/>
    <w:lvl w:ilvl="0" w:tentative="0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9B626B5"/>
    <w:multiLevelType w:val="singleLevel"/>
    <w:tmpl w:val="59B626B5"/>
    <w:lvl w:ilvl="0" w:tentative="0">
      <w:start w:val="1"/>
      <w:numFmt w:val="chineseCounting"/>
      <w:suff w:val="nothing"/>
      <w:lvlText w:val="%1、"/>
      <w:lvlJc w:val="left"/>
    </w:lvl>
  </w:abstractNum>
  <w:abstractNum w:abstractNumId="4">
    <w:nsid w:val="7F096103"/>
    <w:multiLevelType w:val="singleLevel"/>
    <w:tmpl w:val="7F096103"/>
    <w:lvl w:ilvl="0" w:tentative="0">
      <w:start w:val="1"/>
      <w:numFmt w:val="chineseCounting"/>
      <w:suff w:val="nothing"/>
      <w:lvlText w:val="（%1）"/>
      <w:lvlJc w:val="left"/>
      <w:pPr>
        <w:ind w:left="480" w:firstLine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useFELayout/>
    <w:compatSetting w:name="compatibilityMode" w:uri="http://schemas.microsoft.com/office/word" w:val="12"/>
  </w:compat>
  <w:rsids>
    <w:rsidRoot w:val="00E61314"/>
    <w:rsid w:val="00041DB2"/>
    <w:rsid w:val="00046FF6"/>
    <w:rsid w:val="0014097D"/>
    <w:rsid w:val="001704D9"/>
    <w:rsid w:val="001D2FB0"/>
    <w:rsid w:val="00242061"/>
    <w:rsid w:val="002D2120"/>
    <w:rsid w:val="00372546"/>
    <w:rsid w:val="004745FC"/>
    <w:rsid w:val="004A6B89"/>
    <w:rsid w:val="004D3D60"/>
    <w:rsid w:val="005A053E"/>
    <w:rsid w:val="005B33BA"/>
    <w:rsid w:val="0066197C"/>
    <w:rsid w:val="006C5CF5"/>
    <w:rsid w:val="00710CBF"/>
    <w:rsid w:val="0072067D"/>
    <w:rsid w:val="007B5B13"/>
    <w:rsid w:val="00842248"/>
    <w:rsid w:val="0098753A"/>
    <w:rsid w:val="009A1B9D"/>
    <w:rsid w:val="009A22A2"/>
    <w:rsid w:val="009E153A"/>
    <w:rsid w:val="00B92498"/>
    <w:rsid w:val="00C84DA9"/>
    <w:rsid w:val="00C8510B"/>
    <w:rsid w:val="00C87DE1"/>
    <w:rsid w:val="00C95128"/>
    <w:rsid w:val="00D039E7"/>
    <w:rsid w:val="00DA0C72"/>
    <w:rsid w:val="00E1693D"/>
    <w:rsid w:val="00E37192"/>
    <w:rsid w:val="00E61314"/>
    <w:rsid w:val="00EB250D"/>
    <w:rsid w:val="00EB3E16"/>
    <w:rsid w:val="00F1017B"/>
    <w:rsid w:val="00F266EF"/>
    <w:rsid w:val="00F757ED"/>
    <w:rsid w:val="00FB07EE"/>
    <w:rsid w:val="00FD32EA"/>
    <w:rsid w:val="01C6048D"/>
    <w:rsid w:val="087F70A3"/>
    <w:rsid w:val="08860FA4"/>
    <w:rsid w:val="0896552A"/>
    <w:rsid w:val="09EF2F09"/>
    <w:rsid w:val="0DB04C2E"/>
    <w:rsid w:val="15144006"/>
    <w:rsid w:val="15D154DD"/>
    <w:rsid w:val="160A04D8"/>
    <w:rsid w:val="19AC2089"/>
    <w:rsid w:val="1E6F39E1"/>
    <w:rsid w:val="1E797A8F"/>
    <w:rsid w:val="1F2749D8"/>
    <w:rsid w:val="26FB3C0C"/>
    <w:rsid w:val="31A850FD"/>
    <w:rsid w:val="36B54254"/>
    <w:rsid w:val="3FB83EAB"/>
    <w:rsid w:val="482F26EA"/>
    <w:rsid w:val="51667B52"/>
    <w:rsid w:val="57DE3D78"/>
    <w:rsid w:val="6045666F"/>
    <w:rsid w:val="651D3F1E"/>
    <w:rsid w:val="652B63CA"/>
    <w:rsid w:val="6FB16567"/>
    <w:rsid w:val="732E1190"/>
    <w:rsid w:val="7410630E"/>
    <w:rsid w:val="76493E6C"/>
    <w:rsid w:val="795635CA"/>
    <w:rsid w:val="7A94013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="0" w:afterAutospacing="1"/>
    </w:pPr>
    <w:rPr>
      <w:rFonts w:cs="Times New Roman"/>
      <w:sz w:val="24"/>
      <w:lang w:eastAsia="zh-CN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Theme="minorHAnsi" w:hAnsiTheme="minorHAnsi" w:eastAsiaTheme="minorHAnsi" w:cstheme="minorBidi"/>
      <w:sz w:val="18"/>
      <w:szCs w:val="18"/>
      <w:lang w:eastAsia="en-US"/>
    </w:rPr>
  </w:style>
  <w:style w:type="paragraph" w:customStyle="1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chart" Target="charts/chart4.xml"/><Relationship Id="rId18" Type="http://schemas.openxmlformats.org/officeDocument/2006/relationships/chart" Target="charts/chart3.xml"/><Relationship Id="rId17" Type="http://schemas.openxmlformats.org/officeDocument/2006/relationships/chart" Target="charts/chart2.xml"/><Relationship Id="rId16" Type="http://schemas.openxmlformats.org/officeDocument/2006/relationships/chart" Target="charts/chart1.xml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200"/>
              <a:t>支出构成情况（按支出性质）</a:t>
            </a:r>
            <a:endParaRPr lang="zh-CN" altLang="en-US" sz="1200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layout/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Sheet1!$A$2:$A$3</c:f>
              <c:strCache>
                <c:ptCount val="2"/>
                <c:pt idx="0">
                  <c:v>基本支出</c:v>
                </c:pt>
                <c:pt idx="1">
                  <c:v>项目支出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250.09</c:v>
                </c:pt>
                <c:pt idx="1">
                  <c:v>290.82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Sheet1!$A$2:$A$3</c:f>
              <c:strCache>
                <c:ptCount val="2"/>
                <c:pt idx="0">
                  <c:v>财政拨款收入</c:v>
                </c:pt>
                <c:pt idx="1">
                  <c:v>财政拨款支出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573.12</c:v>
                </c:pt>
                <c:pt idx="1">
                  <c:v>557.89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Sheet1!$A$2:$A$3</c:f>
              <c:strCache>
                <c:ptCount val="2"/>
                <c:pt idx="0">
                  <c:v>财政拨款收入</c:v>
                </c:pt>
                <c:pt idx="1">
                  <c:v>财政拨款支出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543.93</c:v>
                </c:pt>
                <c:pt idx="1">
                  <c:v>540.91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683712"/>
        <c:axId val="257102208"/>
      </c:barChart>
      <c:catAx>
        <c:axId val="2056837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57102208"/>
        <c:crosses val="autoZero"/>
        <c:auto val="1"/>
        <c:lblAlgn val="ctr"/>
        <c:lblOffset val="100"/>
        <c:noMultiLvlLbl val="0"/>
      </c:catAx>
      <c:valAx>
        <c:axId val="25710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05683712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年初预算数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Sheet1!$A$2:$A$3</c:f>
              <c:strCache>
                <c:ptCount val="2"/>
                <c:pt idx="0">
                  <c:v>财政拨款收入</c:v>
                </c:pt>
                <c:pt idx="1">
                  <c:v>财政拨款支出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524.06</c:v>
                </c:pt>
                <c:pt idx="1">
                  <c:v>524.06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决算数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Sheet1!$A$2:$A$3</c:f>
              <c:strCache>
                <c:ptCount val="2"/>
                <c:pt idx="0">
                  <c:v>财政拨款收入</c:v>
                </c:pt>
                <c:pt idx="1">
                  <c:v>财政拨款支出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543.93</c:v>
                </c:pt>
                <c:pt idx="1">
                  <c:v>540.91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7196032"/>
        <c:axId val="257197568"/>
      </c:barChart>
      <c:catAx>
        <c:axId val="2571960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57197568"/>
        <c:crosses val="autoZero"/>
        <c:auto val="1"/>
        <c:lblAlgn val="ctr"/>
        <c:lblOffset val="100"/>
        <c:noMultiLvlLbl val="0"/>
      </c:catAx>
      <c:valAx>
        <c:axId val="257197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57196032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财政拨款支出构成情况（按功能分类）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en-US"/>
                      <a:t>50.09%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en-US"/>
                      <a:t>13.67%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en-US"/>
                      <a:t>34.76%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Sheet1!$A$2:$A$6</c:f>
              <c:strCache>
                <c:ptCount val="5"/>
                <c:pt idx="0">
                  <c:v>一般公共服务支出</c:v>
                </c:pt>
                <c:pt idx="1">
                  <c:v>社会保障和就业支出</c:v>
                </c:pt>
                <c:pt idx="2">
                  <c:v>医疗卫生和计划生育支出</c:v>
                </c:pt>
                <c:pt idx="3">
                  <c:v>节能环保支出</c:v>
                </c:pt>
                <c:pt idx="4">
                  <c:v>农林水支出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270.94</c:v>
                </c:pt>
                <c:pt idx="1">
                  <c:v>5.81</c:v>
                </c:pt>
                <c:pt idx="2">
                  <c:v>3.19</c:v>
                </c:pt>
                <c:pt idx="3">
                  <c:v>73.96</c:v>
                </c:pt>
                <c:pt idx="4">
                  <c:v>188.02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27B4C1-CCE7-40A9-93AD-50914FD5B5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677</Words>
  <Characters>3862</Characters>
  <Lines>32</Lines>
  <Paragraphs>9</Paragraphs>
  <TotalTime>0</TotalTime>
  <ScaleCrop>false</ScaleCrop>
  <LinksUpToDate>false</LinksUpToDate>
  <CharactersWithSpaces>4530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2019-10-22T03:51:00Z</dcterms:created>
  <dc:creator>lenovo</dc:creator>
  <cp:lastModifiedBy>Administrator</cp:lastModifiedBy>
  <cp:lastPrinted>2019-10-22T07:24:00Z</cp:lastPrinted>
  <dcterms:modified xsi:type="dcterms:W3CDTF">2019-10-22T10:04:01Z</dcterms:modified>
  <dc:title>Microsoft Word - 汇编.doc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LastSaved">
    <vt:filetime>2017-08-23T00:00:00Z</vt:filetime>
  </property>
  <property fmtid="{D5CDD505-2E9C-101B-9397-08002B2CF9AE}" pid="4" name="KSOProductBuildVer">
    <vt:lpwstr>2052-10.1.0.6135</vt:lpwstr>
  </property>
</Properties>
</file>