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24" w:lineRule="exact"/>
        <w:ind w:right="-113"/>
        <w:jc w:val="center"/>
        <w:rPr>
          <w:rFonts w:ascii="黑体" w:hAnsi="黑体" w:eastAsia="黑体"/>
          <w:sz w:val="81"/>
        </w:rPr>
      </w:pPr>
    </w:p>
    <w:p>
      <w:pPr>
        <w:spacing w:line="924" w:lineRule="exact"/>
        <w:ind w:right="-113"/>
        <w:jc w:val="center"/>
        <w:rPr>
          <w:rFonts w:ascii="黑体" w:hAnsi="黑体" w:eastAsia="黑体"/>
          <w:sz w:val="81"/>
        </w:rPr>
      </w:pPr>
    </w:p>
    <w:p>
      <w:pPr>
        <w:spacing w:line="924" w:lineRule="exact"/>
        <w:ind w:right="-113"/>
        <w:jc w:val="center"/>
        <w:rPr>
          <w:rFonts w:ascii="黑体" w:hAnsi="黑体" w:eastAsia="黑体"/>
          <w:sz w:val="81"/>
        </w:rPr>
      </w:pPr>
      <w:bookmarkStart w:id="0" w:name="_GoBack"/>
      <w:bookmarkEnd w:id="0"/>
      <w:r>
        <w:rPr>
          <w:rFonts w:ascii="黑体" w:hAnsi="黑体" w:eastAsia="黑体"/>
          <w:sz w:val="81"/>
        </w:rPr>
        <w:t>2018 年度部门决算</w:t>
      </w:r>
    </w:p>
    <w:p>
      <w:pPr>
        <w:spacing w:line="290" w:lineRule="exact"/>
        <w:rPr>
          <w:rFonts w:ascii="Times New Roman" w:hAnsi="Times New Roman" w:eastAsia="Times New Roman"/>
        </w:rPr>
      </w:pPr>
    </w:p>
    <w:p>
      <w:pPr>
        <w:spacing w:line="959" w:lineRule="exact"/>
        <w:ind w:right="-113"/>
        <w:jc w:val="center"/>
        <w:rPr>
          <w:rFonts w:ascii="黑体" w:hAnsi="黑体" w:eastAsia="黑体"/>
          <w:sz w:val="84"/>
        </w:rPr>
      </w:pPr>
      <w:r>
        <w:rPr>
          <w:rFonts w:ascii="黑体" w:hAnsi="黑体" w:eastAsia="黑体"/>
          <w:sz w:val="84"/>
        </w:rPr>
        <w:t>公开文本</w:t>
      </w:r>
    </w:p>
    <w:p>
      <w:pPr>
        <w:spacing w:line="959" w:lineRule="exact"/>
        <w:ind w:right="-113"/>
        <w:jc w:val="center"/>
        <w:rPr>
          <w:rFonts w:ascii="黑体" w:hAnsi="黑体" w:eastAsia="黑体"/>
          <w:sz w:val="84"/>
        </w:rPr>
        <w:sectPr>
          <w:pgSz w:w="11900" w:h="16838"/>
          <w:pgMar w:top="1440" w:right="1440" w:bottom="1440" w:left="1440" w:header="0" w:footer="0" w:gutter="0"/>
          <w:cols w:equalWidth="0" w:num="1">
            <w:col w:w="9026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30" w:lineRule="exact"/>
        <w:rPr>
          <w:rFonts w:ascii="Times New Roman" w:hAnsi="Times New Roman" w:eastAsia="Times New Roman"/>
        </w:rPr>
      </w:pPr>
    </w:p>
    <w:p>
      <w:pPr>
        <w:spacing w:line="502" w:lineRule="exact"/>
        <w:ind w:right="-113"/>
        <w:jc w:val="center"/>
        <w:rPr>
          <w:rFonts w:ascii="宋体" w:hAnsi="宋体" w:eastAsia="宋体"/>
          <w:sz w:val="44"/>
        </w:rPr>
      </w:pPr>
      <w:r>
        <w:rPr>
          <w:rFonts w:hint="eastAsia" w:ascii="宋体" w:hAnsi="宋体" w:eastAsia="宋体"/>
          <w:sz w:val="44"/>
          <w:lang w:eastAsia="zh-CN"/>
        </w:rPr>
        <w:t>凤岗街道办事处</w:t>
      </w:r>
    </w:p>
    <w:p>
      <w:pPr>
        <w:spacing w:line="110" w:lineRule="exact"/>
        <w:rPr>
          <w:rFonts w:ascii="Times New Roman" w:hAnsi="Times New Roman" w:eastAsia="Times New Roman"/>
        </w:rPr>
      </w:pPr>
    </w:p>
    <w:p>
      <w:pPr>
        <w:spacing w:line="491" w:lineRule="exact"/>
        <w:ind w:right="-93"/>
        <w:jc w:val="center"/>
        <w:rPr>
          <w:rFonts w:ascii="宋体" w:hAnsi="宋体" w:eastAsia="宋体"/>
          <w:sz w:val="43"/>
        </w:rPr>
      </w:pPr>
      <w:r>
        <w:rPr>
          <w:rFonts w:ascii="宋体" w:hAnsi="宋体" w:eastAsia="宋体"/>
          <w:sz w:val="43"/>
        </w:rPr>
        <w:t>二〇一九年</w:t>
      </w:r>
      <w:r>
        <w:rPr>
          <w:rFonts w:hint="eastAsia" w:ascii="宋体" w:hAnsi="宋体" w:eastAsia="宋体"/>
          <w:sz w:val="43"/>
          <w:lang w:eastAsia="zh-CN"/>
        </w:rPr>
        <w:t>十</w:t>
      </w:r>
      <w:r>
        <w:rPr>
          <w:rFonts w:ascii="宋体" w:hAnsi="宋体" w:eastAsia="宋体"/>
          <w:sz w:val="43"/>
        </w:rPr>
        <w:t>月</w:t>
      </w:r>
    </w:p>
    <w:p>
      <w:pPr>
        <w:spacing w:line="491" w:lineRule="exact"/>
        <w:ind w:right="-93"/>
        <w:jc w:val="center"/>
        <w:rPr>
          <w:rFonts w:ascii="宋体" w:hAnsi="宋体" w:eastAsia="宋体"/>
          <w:sz w:val="43"/>
        </w:rPr>
        <w:sectPr>
          <w:type w:val="continuous"/>
          <w:pgSz w:w="11900" w:h="16838"/>
          <w:pgMar w:top="1440" w:right="1440" w:bottom="1440" w:left="1440" w:header="0" w:footer="0" w:gutter="0"/>
          <w:cols w:equalWidth="0" w:num="1">
            <w:col w:w="9026"/>
          </w:cols>
          <w:docGrid w:linePitch="360" w:charSpace="0"/>
        </w:sectPr>
      </w:pPr>
    </w:p>
    <w:p>
      <w:pPr>
        <w:tabs>
          <w:tab w:val="left" w:pos="6280"/>
        </w:tabs>
        <w:spacing w:line="548" w:lineRule="exact"/>
        <w:ind w:left="4860"/>
        <w:rPr>
          <w:rFonts w:ascii="黑体" w:hAnsi="黑体" w:eastAsia="黑体"/>
          <w:sz w:val="48"/>
        </w:rPr>
      </w:pPr>
      <w:r>
        <w:rPr>
          <w:rFonts w:ascii="黑体" w:hAnsi="黑体" w:eastAsia="黑体"/>
          <w:sz w:val="48"/>
        </w:rPr>
        <w:t>目</w:t>
      </w:r>
      <w:r>
        <w:rPr>
          <w:rFonts w:ascii="Times New Roman" w:hAnsi="Times New Roman" w:eastAsia="Times New Roman"/>
        </w:rPr>
        <w:tab/>
      </w:r>
      <w:r>
        <w:rPr>
          <w:rFonts w:ascii="黑体" w:hAnsi="黑体" w:eastAsia="黑体"/>
          <w:sz w:val="48"/>
        </w:rPr>
        <w:t>录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13" w:lineRule="exact"/>
        <w:rPr>
          <w:rFonts w:ascii="Times New Roman" w:hAnsi="Times New Roman" w:eastAsia="Times New Roman"/>
        </w:rPr>
      </w:pPr>
    </w:p>
    <w:p>
      <w:pPr>
        <w:tabs>
          <w:tab w:val="left" w:pos="3780"/>
        </w:tabs>
        <w:spacing w:line="366" w:lineRule="exact"/>
        <w:ind w:left="2040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第一部分</w:t>
      </w:r>
      <w:r>
        <w:rPr>
          <w:rFonts w:ascii="Times New Roman" w:hAnsi="Times New Roman" w:eastAsia="Times New Roman"/>
        </w:rPr>
        <w:tab/>
      </w:r>
      <w:r>
        <w:rPr>
          <w:rFonts w:ascii="黑体" w:hAnsi="黑体" w:eastAsia="黑体"/>
          <w:sz w:val="32"/>
        </w:rPr>
        <w:t>部门概况</w:t>
      </w:r>
    </w:p>
    <w:p>
      <w:pPr>
        <w:spacing w:line="373" w:lineRule="exact"/>
        <w:rPr>
          <w:rFonts w:ascii="Times New Roman" w:hAnsi="Times New Roman" w:eastAsia="Times New Roman"/>
        </w:rPr>
      </w:pPr>
    </w:p>
    <w:p>
      <w:pPr>
        <w:spacing w:line="366" w:lineRule="exact"/>
        <w:ind w:left="2680"/>
        <w:rPr>
          <w:rFonts w:ascii="宋体" w:hAnsi="宋体" w:eastAsia="宋体"/>
          <w:sz w:val="32"/>
        </w:rPr>
      </w:pPr>
      <w:r>
        <w:rPr>
          <w:rFonts w:ascii="宋体" w:hAnsi="宋体" w:eastAsia="宋体"/>
          <w:sz w:val="32"/>
        </w:rPr>
        <w:t>一、部门职责</w:t>
      </w:r>
    </w:p>
    <w:p>
      <w:pPr>
        <w:spacing w:line="374" w:lineRule="exact"/>
        <w:rPr>
          <w:rFonts w:ascii="Times New Roman" w:hAnsi="Times New Roman" w:eastAsia="Times New Roman"/>
        </w:rPr>
      </w:pPr>
    </w:p>
    <w:p>
      <w:pPr>
        <w:spacing w:line="366" w:lineRule="exact"/>
        <w:ind w:left="2680"/>
        <w:rPr>
          <w:rFonts w:ascii="宋体" w:hAnsi="宋体" w:eastAsia="宋体"/>
          <w:sz w:val="32"/>
        </w:rPr>
      </w:pPr>
      <w:r>
        <w:rPr>
          <w:rFonts w:ascii="宋体" w:hAnsi="宋体" w:eastAsia="宋体"/>
          <w:sz w:val="32"/>
        </w:rPr>
        <w:t>二、机构设置</w:t>
      </w:r>
    </w:p>
    <w:p>
      <w:pPr>
        <w:spacing w:line="364" w:lineRule="exact"/>
        <w:rPr>
          <w:rFonts w:ascii="Times New Roman" w:hAnsi="Times New Roman" w:eastAsia="Times New Roman"/>
        </w:rPr>
      </w:pPr>
    </w:p>
    <w:p>
      <w:pPr>
        <w:tabs>
          <w:tab w:val="left" w:pos="3780"/>
        </w:tabs>
        <w:spacing w:line="390" w:lineRule="exact"/>
        <w:ind w:left="2040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第二部分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32"/>
        </w:rPr>
        <w:t xml:space="preserve">2018 </w:t>
      </w:r>
      <w:r>
        <w:rPr>
          <w:rFonts w:ascii="黑体" w:hAnsi="黑体" w:eastAsia="黑体"/>
          <w:sz w:val="32"/>
        </w:rPr>
        <w:t>年度部门决算报表</w:t>
      </w:r>
    </w:p>
    <w:p>
      <w:pPr>
        <w:spacing w:line="363" w:lineRule="exact"/>
        <w:rPr>
          <w:rFonts w:ascii="Times New Roman" w:hAnsi="Times New Roman" w:eastAsia="Times New Roman"/>
        </w:rPr>
      </w:pPr>
    </w:p>
    <w:p>
      <w:pPr>
        <w:spacing w:line="366" w:lineRule="exact"/>
        <w:ind w:left="2680"/>
        <w:rPr>
          <w:rFonts w:ascii="宋体" w:hAnsi="宋体" w:eastAsia="宋体"/>
          <w:sz w:val="32"/>
        </w:rPr>
      </w:pPr>
      <w:r>
        <w:rPr>
          <w:rFonts w:ascii="宋体" w:hAnsi="宋体" w:eastAsia="宋体"/>
          <w:sz w:val="32"/>
        </w:rPr>
        <w:t>一、收入支出决算总表</w:t>
      </w:r>
    </w:p>
    <w:p>
      <w:pPr>
        <w:spacing w:line="374" w:lineRule="exact"/>
        <w:rPr>
          <w:rFonts w:ascii="Times New Roman" w:hAnsi="Times New Roman" w:eastAsia="Times New Roman"/>
        </w:rPr>
      </w:pPr>
    </w:p>
    <w:p>
      <w:pPr>
        <w:spacing w:line="366" w:lineRule="exact"/>
        <w:ind w:left="2680"/>
        <w:rPr>
          <w:rFonts w:ascii="宋体" w:hAnsi="宋体" w:eastAsia="宋体"/>
          <w:sz w:val="32"/>
        </w:rPr>
      </w:pPr>
      <w:r>
        <w:rPr>
          <w:rFonts w:ascii="宋体" w:hAnsi="宋体" w:eastAsia="宋体"/>
          <w:sz w:val="32"/>
        </w:rPr>
        <w:t>二、收入决算表</w:t>
      </w:r>
    </w:p>
    <w:p>
      <w:pPr>
        <w:spacing w:line="374" w:lineRule="exact"/>
        <w:rPr>
          <w:rFonts w:ascii="Times New Roman" w:hAnsi="Times New Roman" w:eastAsia="Times New Roman"/>
        </w:rPr>
      </w:pPr>
    </w:p>
    <w:p>
      <w:pPr>
        <w:spacing w:line="366" w:lineRule="exact"/>
        <w:ind w:left="2680"/>
        <w:rPr>
          <w:rFonts w:ascii="宋体" w:hAnsi="宋体" w:eastAsia="宋体"/>
          <w:sz w:val="32"/>
        </w:rPr>
      </w:pPr>
      <w:r>
        <w:rPr>
          <w:rFonts w:ascii="宋体" w:hAnsi="宋体" w:eastAsia="宋体"/>
          <w:sz w:val="32"/>
        </w:rPr>
        <w:t>三、支出决算表</w:t>
      </w:r>
    </w:p>
    <w:p>
      <w:pPr>
        <w:spacing w:line="377" w:lineRule="exact"/>
        <w:rPr>
          <w:rFonts w:ascii="Times New Roman" w:hAnsi="Times New Roman" w:eastAsia="Times New Roman"/>
        </w:rPr>
      </w:pPr>
    </w:p>
    <w:p>
      <w:pPr>
        <w:spacing w:line="366" w:lineRule="exact"/>
        <w:ind w:left="2680"/>
        <w:rPr>
          <w:rFonts w:ascii="宋体" w:hAnsi="宋体" w:eastAsia="宋体"/>
          <w:sz w:val="32"/>
        </w:rPr>
      </w:pPr>
      <w:r>
        <w:rPr>
          <w:rFonts w:ascii="宋体" w:hAnsi="宋体" w:eastAsia="宋体"/>
          <w:sz w:val="32"/>
        </w:rPr>
        <w:t>四、财政拨款收入支出决算总表</w:t>
      </w:r>
    </w:p>
    <w:p>
      <w:pPr>
        <w:spacing w:line="374" w:lineRule="exact"/>
        <w:rPr>
          <w:rFonts w:ascii="Times New Roman" w:hAnsi="Times New Roman" w:eastAsia="Times New Roman"/>
        </w:rPr>
      </w:pPr>
    </w:p>
    <w:p>
      <w:pPr>
        <w:spacing w:line="366" w:lineRule="exact"/>
        <w:ind w:left="2680"/>
        <w:rPr>
          <w:rFonts w:ascii="宋体" w:hAnsi="宋体" w:eastAsia="宋体"/>
          <w:sz w:val="32"/>
        </w:rPr>
      </w:pPr>
      <w:r>
        <w:rPr>
          <w:rFonts w:ascii="宋体" w:hAnsi="宋体" w:eastAsia="宋体"/>
          <w:sz w:val="32"/>
        </w:rPr>
        <w:t>五、一般公共预算财政拨款支出决算表</w:t>
      </w:r>
    </w:p>
    <w:p>
      <w:pPr>
        <w:spacing w:line="374" w:lineRule="exact"/>
        <w:rPr>
          <w:rFonts w:ascii="Times New Roman" w:hAnsi="Times New Roman" w:eastAsia="Times New Roman"/>
        </w:rPr>
      </w:pPr>
    </w:p>
    <w:p>
      <w:pPr>
        <w:spacing w:line="366" w:lineRule="exact"/>
        <w:ind w:left="2680"/>
        <w:rPr>
          <w:rFonts w:ascii="宋体" w:hAnsi="宋体" w:eastAsia="宋体"/>
          <w:sz w:val="32"/>
        </w:rPr>
      </w:pPr>
      <w:r>
        <w:rPr>
          <w:rFonts w:ascii="宋体" w:hAnsi="宋体" w:eastAsia="宋体"/>
          <w:sz w:val="32"/>
        </w:rPr>
        <w:t>六、一般公共预算财政拨款基本支出决算表</w:t>
      </w:r>
    </w:p>
    <w:p>
      <w:pPr>
        <w:spacing w:line="366" w:lineRule="exact"/>
        <w:rPr>
          <w:rFonts w:ascii="Times New Roman" w:hAnsi="Times New Roman" w:eastAsia="Times New Roman"/>
        </w:rPr>
      </w:pPr>
    </w:p>
    <w:p>
      <w:pPr>
        <w:spacing w:line="390" w:lineRule="exact"/>
        <w:ind w:left="2680"/>
        <w:rPr>
          <w:rFonts w:ascii="宋体" w:hAnsi="宋体" w:eastAsia="宋体"/>
          <w:sz w:val="32"/>
        </w:rPr>
      </w:pPr>
      <w:r>
        <w:rPr>
          <w:rFonts w:ascii="宋体" w:hAnsi="宋体" w:eastAsia="宋体"/>
          <w:sz w:val="32"/>
        </w:rPr>
        <w:t>七、一般公共预算财政拨款</w:t>
      </w:r>
      <w:r>
        <w:rPr>
          <w:rFonts w:ascii="Times New Roman" w:hAnsi="Times New Roman" w:eastAsia="Times New Roman"/>
          <w:sz w:val="32"/>
        </w:rPr>
        <w:t>“</w:t>
      </w:r>
      <w:r>
        <w:rPr>
          <w:rFonts w:ascii="宋体" w:hAnsi="宋体" w:eastAsia="宋体"/>
          <w:sz w:val="32"/>
        </w:rPr>
        <w:t>三公</w:t>
      </w:r>
      <w:r>
        <w:rPr>
          <w:rFonts w:ascii="Times New Roman" w:hAnsi="Times New Roman" w:eastAsia="Times New Roman"/>
          <w:sz w:val="32"/>
        </w:rPr>
        <w:t>”</w:t>
      </w:r>
      <w:r>
        <w:rPr>
          <w:rFonts w:ascii="宋体" w:hAnsi="宋体" w:eastAsia="宋体"/>
          <w:sz w:val="32"/>
        </w:rPr>
        <w:t>经费支出决算表</w:t>
      </w:r>
    </w:p>
    <w:p>
      <w:pPr>
        <w:spacing w:line="360" w:lineRule="exact"/>
        <w:rPr>
          <w:rFonts w:ascii="Times New Roman" w:hAnsi="Times New Roman" w:eastAsia="Times New Roman"/>
        </w:rPr>
      </w:pPr>
    </w:p>
    <w:p>
      <w:pPr>
        <w:spacing w:line="366" w:lineRule="exact"/>
        <w:ind w:left="2680"/>
        <w:rPr>
          <w:rFonts w:ascii="宋体" w:hAnsi="宋体" w:eastAsia="宋体"/>
          <w:sz w:val="32"/>
        </w:rPr>
      </w:pPr>
      <w:r>
        <w:rPr>
          <w:rFonts w:ascii="宋体" w:hAnsi="宋体" w:eastAsia="宋体"/>
          <w:sz w:val="32"/>
        </w:rPr>
        <w:t>八、政府性基金预算财政拨款收入支出决算表</w:t>
      </w:r>
    </w:p>
    <w:p>
      <w:pPr>
        <w:spacing w:line="374" w:lineRule="exact"/>
        <w:rPr>
          <w:rFonts w:ascii="Times New Roman" w:hAnsi="Times New Roman" w:eastAsia="Times New Roman"/>
        </w:rPr>
      </w:pPr>
    </w:p>
    <w:p>
      <w:pPr>
        <w:spacing w:line="366" w:lineRule="exact"/>
        <w:ind w:left="2680"/>
        <w:rPr>
          <w:rFonts w:ascii="宋体" w:hAnsi="宋体" w:eastAsia="宋体"/>
          <w:sz w:val="32"/>
        </w:rPr>
      </w:pPr>
      <w:r>
        <w:rPr>
          <w:rFonts w:ascii="宋体" w:hAnsi="宋体" w:eastAsia="宋体"/>
          <w:sz w:val="32"/>
        </w:rPr>
        <w:t>九、国有资本经营预算财政拨款支出决算表</w:t>
      </w:r>
    </w:p>
    <w:p>
      <w:pPr>
        <w:spacing w:line="377" w:lineRule="exact"/>
        <w:rPr>
          <w:rFonts w:ascii="Times New Roman" w:hAnsi="Times New Roman" w:eastAsia="Times New Roman"/>
        </w:rPr>
      </w:pPr>
    </w:p>
    <w:p>
      <w:pPr>
        <w:spacing w:line="366" w:lineRule="exact"/>
        <w:ind w:left="2680"/>
        <w:rPr>
          <w:rFonts w:ascii="宋体" w:hAnsi="宋体" w:eastAsia="宋体"/>
          <w:sz w:val="32"/>
        </w:rPr>
      </w:pPr>
      <w:r>
        <w:rPr>
          <w:rFonts w:ascii="宋体" w:hAnsi="宋体" w:eastAsia="宋体"/>
          <w:sz w:val="32"/>
        </w:rPr>
        <w:t>十、政府采购情况表</w:t>
      </w:r>
    </w:p>
    <w:p>
      <w:pPr>
        <w:spacing w:line="366" w:lineRule="exact"/>
        <w:ind w:left="2680"/>
        <w:rPr>
          <w:rFonts w:ascii="宋体" w:hAnsi="宋体" w:eastAsia="宋体"/>
          <w:sz w:val="32"/>
        </w:rPr>
      </w:pPr>
    </w:p>
    <w:p>
      <w:pPr>
        <w:tabs>
          <w:tab w:val="left" w:pos="3620"/>
        </w:tabs>
        <w:spacing w:line="390" w:lineRule="exact"/>
        <w:ind w:left="2040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第三部分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  <w:sz w:val="32"/>
        </w:rPr>
        <w:t xml:space="preserve">2018 </w:t>
      </w:r>
      <w:r>
        <w:rPr>
          <w:rFonts w:ascii="黑体" w:hAnsi="黑体" w:eastAsia="黑体"/>
          <w:sz w:val="32"/>
        </w:rPr>
        <w:t>年部门决算情况说明</w:t>
      </w:r>
    </w:p>
    <w:p>
      <w:pPr>
        <w:spacing w:line="360" w:lineRule="exact"/>
        <w:rPr>
          <w:rFonts w:ascii="Times New Roman" w:hAnsi="Times New Roman" w:eastAsia="Times New Roman"/>
        </w:rPr>
      </w:pPr>
    </w:p>
    <w:p>
      <w:pPr>
        <w:spacing w:line="366" w:lineRule="exact"/>
        <w:ind w:left="2680"/>
        <w:rPr>
          <w:rFonts w:ascii="宋体" w:hAnsi="宋体" w:eastAsia="宋体"/>
          <w:sz w:val="32"/>
        </w:rPr>
      </w:pPr>
      <w:r>
        <w:rPr>
          <w:rFonts w:ascii="宋体" w:hAnsi="宋体" w:eastAsia="宋体"/>
          <w:sz w:val="32"/>
        </w:rPr>
        <w:t>一、收入支出决算总体情况说明</w:t>
      </w:r>
    </w:p>
    <w:p>
      <w:pPr>
        <w:spacing w:line="374" w:lineRule="exact"/>
        <w:rPr>
          <w:rFonts w:ascii="Times New Roman" w:hAnsi="Times New Roman" w:eastAsia="Times New Roman"/>
        </w:rPr>
      </w:pPr>
    </w:p>
    <w:p>
      <w:pPr>
        <w:spacing w:line="366" w:lineRule="exact"/>
        <w:ind w:left="2680"/>
        <w:rPr>
          <w:rFonts w:ascii="宋体" w:hAnsi="宋体" w:eastAsia="宋体"/>
          <w:sz w:val="32"/>
        </w:rPr>
      </w:pPr>
      <w:r>
        <w:rPr>
          <w:rFonts w:ascii="宋体" w:hAnsi="宋体" w:eastAsia="宋体"/>
          <w:sz w:val="32"/>
        </w:rPr>
        <w:t>二、收入决算情况说明</w:t>
      </w:r>
    </w:p>
    <w:p>
      <w:pPr>
        <w:spacing w:line="377" w:lineRule="exact"/>
        <w:rPr>
          <w:rFonts w:ascii="Times New Roman" w:hAnsi="Times New Roman" w:eastAsia="Times New Roman"/>
        </w:rPr>
      </w:pPr>
    </w:p>
    <w:p>
      <w:pPr>
        <w:spacing w:line="366" w:lineRule="exact"/>
        <w:ind w:left="2680"/>
        <w:rPr>
          <w:rFonts w:ascii="宋体" w:hAnsi="宋体" w:eastAsia="宋体"/>
          <w:sz w:val="32"/>
        </w:rPr>
      </w:pPr>
      <w:r>
        <w:rPr>
          <w:rFonts w:ascii="宋体" w:hAnsi="宋体" w:eastAsia="宋体"/>
          <w:sz w:val="32"/>
        </w:rPr>
        <w:t>三、支出决算情况说明</w:t>
      </w:r>
    </w:p>
    <w:p>
      <w:pPr>
        <w:spacing w:line="374" w:lineRule="exact"/>
        <w:rPr>
          <w:rFonts w:ascii="Times New Roman" w:hAnsi="Times New Roman" w:eastAsia="Times New Roman"/>
        </w:rPr>
      </w:pPr>
    </w:p>
    <w:p>
      <w:pPr>
        <w:spacing w:line="366" w:lineRule="exact"/>
        <w:ind w:left="2680"/>
        <w:rPr>
          <w:rFonts w:ascii="宋体" w:hAnsi="宋体" w:eastAsia="宋体"/>
          <w:sz w:val="32"/>
        </w:rPr>
      </w:pPr>
      <w:r>
        <w:rPr>
          <w:rFonts w:ascii="宋体" w:hAnsi="宋体" w:eastAsia="宋体"/>
          <w:sz w:val="32"/>
        </w:rPr>
        <w:t>四、财政拨款收入支出决算情况说明</w:t>
      </w:r>
    </w:p>
    <w:p>
      <w:pPr>
        <w:spacing w:line="364" w:lineRule="exact"/>
        <w:rPr>
          <w:rFonts w:ascii="Times New Roman" w:hAnsi="Times New Roman" w:eastAsia="Times New Roman"/>
        </w:rPr>
      </w:pPr>
    </w:p>
    <w:p>
      <w:pPr>
        <w:spacing w:line="378" w:lineRule="exact"/>
        <w:ind w:left="2680"/>
        <w:rPr>
          <w:rFonts w:ascii="宋体" w:hAnsi="宋体" w:eastAsia="宋体"/>
          <w:sz w:val="31"/>
        </w:rPr>
      </w:pPr>
      <w:r>
        <w:rPr>
          <w:rFonts w:ascii="宋体" w:hAnsi="宋体" w:eastAsia="宋体"/>
          <w:sz w:val="31"/>
        </w:rPr>
        <w:t>五、一般公共预算财政拨款</w:t>
      </w:r>
      <w:r>
        <w:rPr>
          <w:rFonts w:ascii="Times New Roman" w:hAnsi="Times New Roman" w:eastAsia="Times New Roman"/>
          <w:sz w:val="31"/>
        </w:rPr>
        <w:t>“</w:t>
      </w:r>
      <w:r>
        <w:rPr>
          <w:rFonts w:ascii="宋体" w:hAnsi="宋体" w:eastAsia="宋体"/>
          <w:sz w:val="31"/>
        </w:rPr>
        <w:t>三公</w:t>
      </w:r>
      <w:r>
        <w:rPr>
          <w:rFonts w:ascii="Times New Roman" w:hAnsi="Times New Roman" w:eastAsia="Times New Roman"/>
          <w:sz w:val="31"/>
        </w:rPr>
        <w:t>”</w:t>
      </w:r>
      <w:r>
        <w:rPr>
          <w:rFonts w:ascii="宋体" w:hAnsi="宋体" w:eastAsia="宋体"/>
          <w:sz w:val="31"/>
        </w:rPr>
        <w:t>经费支出决算情况说</w:t>
      </w:r>
    </w:p>
    <w:p>
      <w:pPr>
        <w:spacing w:line="214" w:lineRule="exact"/>
        <w:rPr>
          <w:rFonts w:ascii="Times New Roman" w:hAnsi="Times New Roman" w:eastAsia="Times New Roman"/>
        </w:rPr>
      </w:pPr>
    </w:p>
    <w:p>
      <w:pPr>
        <w:spacing w:line="366" w:lineRule="exact"/>
        <w:ind w:left="2040"/>
        <w:rPr>
          <w:rFonts w:ascii="宋体" w:hAnsi="宋体" w:eastAsia="宋体"/>
          <w:sz w:val="32"/>
        </w:rPr>
      </w:pPr>
      <w:r>
        <w:rPr>
          <w:rFonts w:ascii="宋体" w:hAnsi="宋体" w:eastAsia="宋体"/>
          <w:sz w:val="32"/>
        </w:rPr>
        <w:t>明</w:t>
      </w:r>
    </w:p>
    <w:p>
      <w:pPr>
        <w:spacing w:line="374" w:lineRule="exact"/>
        <w:rPr>
          <w:rFonts w:ascii="Times New Roman" w:hAnsi="Times New Roman" w:eastAsia="Times New Roman"/>
        </w:rPr>
      </w:pPr>
    </w:p>
    <w:p>
      <w:pPr>
        <w:spacing w:line="366" w:lineRule="exact"/>
        <w:ind w:left="2680"/>
        <w:rPr>
          <w:rFonts w:ascii="宋体" w:hAnsi="宋体" w:eastAsia="宋体"/>
          <w:sz w:val="32"/>
        </w:rPr>
      </w:pPr>
      <w:r>
        <w:rPr>
          <w:rFonts w:ascii="宋体" w:hAnsi="宋体" w:eastAsia="宋体"/>
          <w:sz w:val="32"/>
        </w:rPr>
        <w:t>六、预算绩效情况说明</w:t>
      </w:r>
    </w:p>
    <w:p>
      <w:pPr>
        <w:spacing w:line="377" w:lineRule="exact"/>
        <w:rPr>
          <w:rFonts w:ascii="Times New Roman" w:hAnsi="Times New Roman" w:eastAsia="Times New Roman"/>
        </w:rPr>
      </w:pPr>
    </w:p>
    <w:p>
      <w:pPr>
        <w:spacing w:line="366" w:lineRule="exact"/>
        <w:ind w:left="2680"/>
        <w:rPr>
          <w:rFonts w:ascii="宋体" w:hAnsi="宋体" w:eastAsia="宋体"/>
          <w:sz w:val="32"/>
        </w:rPr>
      </w:pPr>
      <w:r>
        <w:rPr>
          <w:rFonts w:ascii="宋体" w:hAnsi="宋体" w:eastAsia="宋体"/>
          <w:sz w:val="32"/>
        </w:rPr>
        <w:t>七、其他重要事项的说明</w:t>
      </w:r>
    </w:p>
    <w:p>
      <w:pPr>
        <w:spacing w:line="378" w:lineRule="exact"/>
        <w:rPr>
          <w:rFonts w:ascii="Times New Roman" w:hAnsi="Times New Roman" w:eastAsia="Times New Roman"/>
        </w:rPr>
      </w:pPr>
    </w:p>
    <w:p>
      <w:pPr>
        <w:tabs>
          <w:tab w:val="left" w:pos="3620"/>
        </w:tabs>
        <w:spacing w:line="366" w:lineRule="exact"/>
        <w:ind w:left="2040"/>
        <w:rPr>
          <w:rFonts w:ascii="黑体" w:hAnsi="黑体" w:eastAsia="黑体"/>
          <w:sz w:val="32"/>
        </w:rPr>
        <w:sectPr>
          <w:pgSz w:w="11900" w:h="16838"/>
          <w:pgMar w:top="1414" w:right="1440" w:bottom="776" w:left="180" w:header="0" w:footer="0" w:gutter="0"/>
          <w:cols w:equalWidth="0" w:num="1">
            <w:col w:w="10286"/>
          </w:cols>
          <w:docGrid w:linePitch="360" w:charSpace="0"/>
        </w:sectPr>
      </w:pPr>
      <w:r>
        <w:rPr>
          <w:rFonts w:ascii="黑体" w:hAnsi="黑体" w:eastAsia="黑体"/>
          <w:sz w:val="32"/>
        </w:rPr>
        <w:t>第四部分</w:t>
      </w:r>
      <w:r>
        <w:rPr>
          <w:rFonts w:ascii="黑体" w:hAnsi="黑体" w:eastAsia="黑体"/>
          <w:sz w:val="32"/>
        </w:rPr>
        <w:tab/>
      </w:r>
      <w:r>
        <w:rPr>
          <w:rFonts w:ascii="黑体" w:hAnsi="黑体" w:eastAsia="黑体"/>
          <w:sz w:val="32"/>
        </w:rPr>
        <w:t>名词解释</w:t>
      </w:r>
    </w:p>
    <w:p>
      <w:pPr>
        <w:spacing w:line="200" w:lineRule="exact"/>
        <w:rPr>
          <w:rFonts w:hint="eastAsia" w:ascii="Times New Roman" w:hAnsi="Times New Roman" w:eastAsia="宋体"/>
          <w:lang w:eastAsia="zh-CN"/>
        </w:rPr>
      </w:pPr>
    </w:p>
    <w:p>
      <w:pPr>
        <w:spacing w:line="200" w:lineRule="exact"/>
        <w:rPr>
          <w:rFonts w:hint="eastAsia" w:ascii="Times New Roman" w:hAnsi="Times New Roman" w:eastAsia="宋体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5" w:beforeAutospacing="0" w:after="315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/>
          <w:sz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第一部分   部门概况</w:t>
      </w:r>
    </w:p>
    <w:p>
      <w:pPr>
        <w:spacing w:line="366" w:lineRule="exact"/>
        <w:rPr>
          <w:rFonts w:ascii="黑体" w:hAnsi="黑体" w:eastAsia="黑体"/>
          <w:sz w:val="32"/>
        </w:rPr>
      </w:pPr>
    </w:p>
    <w:p>
      <w:pPr>
        <w:spacing w:line="366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一、部门职责</w:t>
      </w:r>
    </w:p>
    <w:p>
      <w:pPr>
        <w:spacing w:line="279" w:lineRule="exact"/>
        <w:rPr>
          <w:rFonts w:ascii="Times New Roman" w:hAnsi="Times New Roman" w:eastAsia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outlineLvl w:val="9"/>
        <w:rPr>
          <w:rFonts w:ascii="宋体" w:hAnsi="宋体" w:eastAsia="宋体"/>
          <w:sz w:val="32"/>
          <w:szCs w:val="22"/>
        </w:rPr>
      </w:pPr>
      <w:r>
        <w:rPr>
          <w:rFonts w:ascii="宋体" w:hAnsi="宋体" w:eastAsia="宋体"/>
          <w:sz w:val="32"/>
          <w:szCs w:val="22"/>
        </w:rPr>
        <w:t>根据《</w:t>
      </w:r>
      <w:r>
        <w:rPr>
          <w:rFonts w:hint="eastAsia" w:ascii="宋体" w:hAnsi="宋体" w:eastAsia="宋体"/>
          <w:sz w:val="32"/>
          <w:szCs w:val="22"/>
          <w:lang w:eastAsia="zh-CN"/>
        </w:rPr>
        <w:t>凤岗街道办事处</w:t>
      </w:r>
      <w:r>
        <w:rPr>
          <w:rFonts w:ascii="宋体" w:hAnsi="宋体" w:eastAsia="宋体"/>
          <w:sz w:val="32"/>
          <w:szCs w:val="22"/>
        </w:rPr>
        <w:t>职能配置、内设机构和人员 编制方案》规定，</w:t>
      </w:r>
      <w:r>
        <w:rPr>
          <w:rFonts w:hint="eastAsia" w:ascii="宋体" w:hAnsi="宋体" w:eastAsia="宋体"/>
          <w:sz w:val="32"/>
          <w:szCs w:val="22"/>
          <w:lang w:eastAsia="zh-CN"/>
        </w:rPr>
        <w:t>凤岗街道办事处</w:t>
      </w:r>
      <w:r>
        <w:rPr>
          <w:rFonts w:ascii="宋体" w:hAnsi="宋体" w:eastAsia="宋体"/>
          <w:sz w:val="32"/>
          <w:szCs w:val="22"/>
        </w:rPr>
        <w:t>的主要职责是：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outlineLvl w:val="9"/>
        <w:rPr>
          <w:rFonts w:hint="eastAsia" w:ascii="宋体" w:hAnsi="宋体" w:eastAsia="宋体"/>
          <w:sz w:val="32"/>
          <w:szCs w:val="22"/>
          <w:lang w:val="en-US" w:eastAsia="zh-CN"/>
        </w:rPr>
      </w:pPr>
      <w:r>
        <w:rPr>
          <w:rFonts w:hint="eastAsia" w:ascii="宋体" w:hAnsi="宋体" w:eastAsia="宋体"/>
          <w:sz w:val="32"/>
          <w:szCs w:val="22"/>
          <w:lang w:val="en-US" w:eastAsia="zh-CN"/>
        </w:rPr>
        <w:t>（一）1.保障办事处党委大型会议、重要活动的正常、顺利举办；2.负责党委、政府信息上报、宣传工作；3.负责党委政府重要文件、讲话的起草撰写；4.负责机关文化、干部作风和学风建设营造。认真开展精神文化、科技文化、办公文化和廉政文化为抓手，不断提高机关工作人员的综合素质，构建先进的文化理念，健全科学的管理制度，营造和谐的工作氛围，塑造文明的整体形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outlineLvl w:val="9"/>
        <w:rPr>
          <w:rFonts w:hint="eastAsia" w:ascii="宋体" w:hAnsi="宋体" w:eastAsia="宋体"/>
          <w:sz w:val="32"/>
          <w:szCs w:val="22"/>
          <w:lang w:val="en-US" w:eastAsia="zh-CN"/>
        </w:rPr>
      </w:pPr>
      <w:r>
        <w:rPr>
          <w:rFonts w:hint="eastAsia" w:ascii="宋体" w:hAnsi="宋体" w:eastAsia="宋体"/>
          <w:sz w:val="32"/>
          <w:szCs w:val="22"/>
          <w:lang w:val="en-US" w:eastAsia="zh-CN"/>
        </w:rPr>
        <w:t>（二）努力建设一支素质高、战斗力强的的干部队伍，建设一个凝聚力和向心力强，有良好风气的机关。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outlineLvl w:val="9"/>
        <w:rPr>
          <w:rFonts w:hint="eastAsia" w:ascii="宋体" w:hAnsi="宋体" w:eastAsia="宋体"/>
          <w:sz w:val="32"/>
          <w:szCs w:val="22"/>
          <w:lang w:val="en-US" w:eastAsia="zh-CN"/>
        </w:rPr>
      </w:pPr>
      <w:r>
        <w:rPr>
          <w:rFonts w:hint="eastAsia" w:ascii="宋体" w:hAnsi="宋体" w:eastAsia="宋体"/>
          <w:sz w:val="32"/>
          <w:szCs w:val="22"/>
          <w:lang w:val="en-US" w:eastAsia="zh-CN"/>
        </w:rPr>
        <w:t>（三）信息真实完整，领导满意，批示率高。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outlineLvl w:val="9"/>
        <w:rPr>
          <w:rFonts w:hint="eastAsia" w:ascii="宋体" w:hAnsi="宋体" w:eastAsia="宋体"/>
          <w:sz w:val="32"/>
          <w:szCs w:val="22"/>
          <w:lang w:val="en-US" w:eastAsia="zh-CN"/>
        </w:rPr>
      </w:pPr>
      <w:r>
        <w:rPr>
          <w:rFonts w:hint="eastAsia" w:ascii="宋体" w:hAnsi="宋体" w:eastAsia="宋体"/>
          <w:sz w:val="32"/>
          <w:szCs w:val="22"/>
          <w:lang w:val="en-US" w:eastAsia="zh-CN"/>
        </w:rPr>
        <w:t>（四）加强基层班子建设；加强大学生村官队伍建设，健全全处党的组织制度、党内生活制度建设；加强民主集中制建设和民主生活会宏观指导；协调和指导处党代会、人代会。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outlineLvl w:val="9"/>
        <w:rPr>
          <w:rFonts w:hint="eastAsia" w:ascii="宋体" w:hAnsi="宋体" w:eastAsia="宋体"/>
          <w:sz w:val="32"/>
          <w:szCs w:val="22"/>
          <w:lang w:val="en-US" w:eastAsia="zh-CN"/>
        </w:rPr>
      </w:pPr>
      <w:r>
        <w:rPr>
          <w:rFonts w:hint="eastAsia" w:ascii="宋体" w:hAnsi="宋体" w:eastAsia="宋体"/>
          <w:sz w:val="32"/>
          <w:szCs w:val="22"/>
          <w:lang w:val="en-US" w:eastAsia="zh-CN"/>
        </w:rPr>
        <w:t>（五）加强和改进社区居委会的组织建设、队伍建设、制度建设、设施建设。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outlineLvl w:val="9"/>
        <w:rPr>
          <w:rFonts w:hint="eastAsia" w:ascii="宋体" w:hAnsi="宋体" w:eastAsia="宋体"/>
          <w:sz w:val="32"/>
          <w:szCs w:val="22"/>
          <w:lang w:val="en-US" w:eastAsia="zh-CN"/>
        </w:rPr>
      </w:pPr>
      <w:r>
        <w:rPr>
          <w:rFonts w:hint="eastAsia" w:ascii="宋体" w:hAnsi="宋体" w:eastAsia="宋体"/>
          <w:sz w:val="32"/>
          <w:szCs w:val="22"/>
          <w:lang w:val="en-US" w:eastAsia="zh-CN"/>
        </w:rPr>
        <w:t>（六）严格按各级文件精神，大力宣传和落实党和国家及各级政府有关民政、劳动和社会保障工作。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outlineLvl w:val="9"/>
        <w:rPr>
          <w:rFonts w:hint="eastAsia" w:ascii="宋体" w:hAnsi="宋体" w:eastAsia="宋体"/>
          <w:sz w:val="32"/>
          <w:szCs w:val="22"/>
          <w:lang w:val="en-US" w:eastAsia="zh-CN"/>
        </w:rPr>
      </w:pPr>
      <w:r>
        <w:rPr>
          <w:rFonts w:hint="eastAsia" w:ascii="宋体" w:hAnsi="宋体" w:eastAsia="宋体"/>
          <w:sz w:val="32"/>
          <w:szCs w:val="22"/>
          <w:lang w:val="en-US" w:eastAsia="zh-CN"/>
        </w:rPr>
        <w:t>（七）编制切实可行的全处经济发展战略和中长期规划。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outlineLvl w:val="9"/>
        <w:rPr>
          <w:rFonts w:hint="eastAsia" w:ascii="宋体" w:hAnsi="宋体" w:eastAsia="宋体"/>
          <w:sz w:val="32"/>
          <w:szCs w:val="22"/>
          <w:lang w:val="en-US" w:eastAsia="zh-CN"/>
        </w:rPr>
      </w:pPr>
      <w:r>
        <w:rPr>
          <w:rFonts w:hint="eastAsia" w:ascii="宋体" w:hAnsi="宋体" w:eastAsia="宋体"/>
          <w:sz w:val="32"/>
          <w:szCs w:val="22"/>
          <w:lang w:val="en-US" w:eastAsia="zh-CN"/>
        </w:rPr>
        <w:t>（八）对农村财务实现全面管理及指导。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outlineLvl w:val="9"/>
        <w:rPr>
          <w:rFonts w:hint="eastAsia" w:ascii="宋体" w:hAnsi="宋体" w:eastAsia="宋体"/>
          <w:sz w:val="32"/>
          <w:szCs w:val="22"/>
          <w:lang w:val="en-US" w:eastAsia="zh-CN"/>
        </w:rPr>
      </w:pPr>
      <w:r>
        <w:rPr>
          <w:rFonts w:hint="eastAsia" w:ascii="宋体" w:hAnsi="宋体" w:eastAsia="宋体"/>
          <w:sz w:val="32"/>
          <w:szCs w:val="22"/>
          <w:lang w:val="en-US" w:eastAsia="zh-CN"/>
        </w:rPr>
        <w:t>（九）完成市委市政府下达的招商引资、项目建设任务。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outlineLvl w:val="9"/>
        <w:rPr>
          <w:rFonts w:hint="eastAsia" w:ascii="宋体" w:hAnsi="宋体" w:eastAsia="宋体"/>
          <w:sz w:val="32"/>
          <w:szCs w:val="22"/>
          <w:lang w:val="en-US" w:eastAsia="zh-CN"/>
        </w:rPr>
      </w:pPr>
      <w:r>
        <w:rPr>
          <w:rFonts w:hint="eastAsia" w:ascii="宋体" w:hAnsi="宋体" w:eastAsia="宋体"/>
          <w:sz w:val="32"/>
          <w:szCs w:val="22"/>
          <w:lang w:val="en-US" w:eastAsia="zh-CN"/>
        </w:rPr>
        <w:t>（十）开展统计执法检查和培训工作，防范统计违法现象的发生；拟定全处统计教育培训制度、规划等，统一归口管理指导全乡统计教育培训工作。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outlineLvl w:val="9"/>
        <w:rPr>
          <w:rFonts w:hint="eastAsia" w:ascii="宋体" w:hAnsi="宋体" w:eastAsia="宋体"/>
          <w:sz w:val="32"/>
          <w:szCs w:val="22"/>
          <w:lang w:val="en-US" w:eastAsia="zh-CN"/>
        </w:rPr>
      </w:pPr>
      <w:r>
        <w:rPr>
          <w:rFonts w:hint="eastAsia" w:ascii="宋体" w:hAnsi="宋体" w:eastAsia="宋体"/>
          <w:sz w:val="32"/>
          <w:szCs w:val="22"/>
          <w:lang w:val="en-US" w:eastAsia="zh-CN"/>
        </w:rPr>
        <w:t>（十一）确保全处环保工作不出现任何问题，绿化任务全面完成。有效改善人居环境。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outlineLvl w:val="9"/>
        <w:rPr>
          <w:rFonts w:hint="eastAsia" w:ascii="宋体" w:hAnsi="宋体" w:eastAsia="宋体"/>
          <w:sz w:val="32"/>
          <w:szCs w:val="22"/>
          <w:lang w:val="en-US" w:eastAsia="zh-CN"/>
        </w:rPr>
      </w:pPr>
      <w:r>
        <w:rPr>
          <w:rFonts w:hint="eastAsia" w:ascii="宋体" w:hAnsi="宋体" w:eastAsia="宋体"/>
          <w:sz w:val="32"/>
          <w:szCs w:val="22"/>
          <w:lang w:val="en-US" w:eastAsia="zh-CN"/>
        </w:rPr>
        <w:t>（十二）确保全处农村面貌大幅度改观、并完成市委市政府下达的美丽乡村建设任务。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outlineLvl w:val="9"/>
        <w:rPr>
          <w:rFonts w:hint="eastAsia" w:ascii="宋体" w:hAnsi="宋体" w:eastAsia="宋体"/>
          <w:sz w:val="32"/>
          <w:szCs w:val="22"/>
          <w:lang w:val="en-US" w:eastAsia="zh-CN"/>
        </w:rPr>
      </w:pPr>
      <w:r>
        <w:rPr>
          <w:rFonts w:hint="eastAsia" w:ascii="宋体" w:hAnsi="宋体" w:eastAsia="宋体"/>
          <w:sz w:val="32"/>
          <w:szCs w:val="22"/>
          <w:lang w:val="en-US" w:eastAsia="zh-CN"/>
        </w:rPr>
        <w:t>（十三）按计划分期分批完成乡村路面硬化、亮化、美化、节水灌溉、泵井管道维修维护、排水设施等。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outlineLvl w:val="9"/>
        <w:rPr>
          <w:rFonts w:hint="eastAsia" w:ascii="宋体" w:hAnsi="宋体" w:eastAsia="宋体"/>
          <w:sz w:val="32"/>
          <w:szCs w:val="22"/>
          <w:lang w:val="en-US" w:eastAsia="zh-CN"/>
        </w:rPr>
      </w:pPr>
      <w:r>
        <w:rPr>
          <w:rFonts w:hint="eastAsia" w:ascii="宋体" w:hAnsi="宋体" w:eastAsia="宋体"/>
          <w:sz w:val="32"/>
          <w:szCs w:val="22"/>
          <w:lang w:val="en-US" w:eastAsia="zh-CN"/>
        </w:rPr>
        <w:t>（十四）提高全处人民法律意识和法律素质，增强法治化管理水平，促进全处民主与法制建设。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outlineLvl w:val="9"/>
        <w:rPr>
          <w:rFonts w:hint="eastAsia" w:ascii="宋体" w:hAnsi="宋体" w:eastAsia="宋体"/>
          <w:sz w:val="32"/>
          <w:szCs w:val="22"/>
          <w:lang w:val="en-US" w:eastAsia="zh-CN"/>
        </w:rPr>
      </w:pPr>
      <w:r>
        <w:rPr>
          <w:rFonts w:hint="eastAsia" w:ascii="宋体" w:hAnsi="宋体" w:eastAsia="宋体"/>
          <w:sz w:val="32"/>
          <w:szCs w:val="22"/>
          <w:lang w:val="en-US" w:eastAsia="zh-CN"/>
        </w:rPr>
        <w:t>（十五）建设完善的乡、村两级计划生育组织，搞好计划生育服务。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outlineLvl w:val="9"/>
        <w:rPr>
          <w:rFonts w:hint="eastAsia" w:ascii="宋体" w:hAnsi="宋体" w:eastAsia="宋体"/>
          <w:sz w:val="32"/>
          <w:szCs w:val="22"/>
          <w:lang w:val="en-US" w:eastAsia="zh-CN"/>
        </w:rPr>
      </w:pPr>
      <w:r>
        <w:rPr>
          <w:rFonts w:hint="eastAsia" w:ascii="宋体" w:hAnsi="宋体" w:eastAsia="宋体"/>
          <w:sz w:val="32"/>
          <w:szCs w:val="22"/>
          <w:lang w:val="en-US" w:eastAsia="zh-CN"/>
        </w:rPr>
        <w:t>（十六）定期组织在全乡开展安全生产安全督导检查活动，对重点行业和作业场所职业卫生安全生产加强行政执法监察，依法对违法行为实施行政处罚；不断加强安全生产监管能力建设，改善执法检测、监察检查等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outlineLvl w:val="9"/>
        <w:rPr>
          <w:rFonts w:hint="eastAsia" w:ascii="宋体" w:hAnsi="宋体" w:eastAsia="宋体"/>
          <w:sz w:val="32"/>
          <w:szCs w:val="22"/>
          <w:lang w:val="en-US" w:eastAsia="zh-CN"/>
        </w:rPr>
      </w:pPr>
      <w:r>
        <w:rPr>
          <w:rFonts w:hint="eastAsia" w:ascii="宋体" w:hAnsi="宋体" w:eastAsia="宋体"/>
          <w:sz w:val="32"/>
          <w:szCs w:val="22"/>
          <w:lang w:val="en-US" w:eastAsia="zh-CN"/>
        </w:rPr>
        <w:t>（十七）党和政府有关文化体育、广播电视方面的方针政策得到广泛宣传，文化设施建设。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outlineLvl w:val="9"/>
        <w:rPr>
          <w:rFonts w:hint="eastAsia" w:ascii="宋体" w:hAnsi="宋体" w:eastAsia="宋体"/>
          <w:sz w:val="32"/>
          <w:szCs w:val="22"/>
          <w:lang w:val="en-US" w:eastAsia="zh-CN"/>
        </w:rPr>
      </w:pPr>
      <w:r>
        <w:rPr>
          <w:rFonts w:hint="eastAsia" w:ascii="宋体" w:hAnsi="宋体" w:eastAsia="宋体"/>
          <w:sz w:val="32"/>
          <w:szCs w:val="22"/>
          <w:lang w:val="en-US" w:eastAsia="zh-CN"/>
        </w:rPr>
        <w:t>（十八）负责机关办公楼修缮附属设施购置、维护、改造等其他日常运转。</w:t>
      </w:r>
    </w:p>
    <w:p>
      <w:pPr>
        <w:spacing w:line="239" w:lineRule="exact"/>
        <w:rPr>
          <w:rFonts w:ascii="Times New Roman" w:hAnsi="Times New Roman" w:eastAsia="Times New Roman"/>
        </w:rPr>
      </w:pPr>
    </w:p>
    <w:p>
      <w:pPr>
        <w:spacing w:line="366" w:lineRule="exact"/>
        <w:ind w:left="780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二、机构设置</w:t>
      </w:r>
    </w:p>
    <w:p>
      <w:pPr>
        <w:spacing w:line="208" w:lineRule="exact"/>
        <w:rPr>
          <w:rFonts w:ascii="Times New Roman" w:hAnsi="Times New Roman" w:eastAsia="Times New Roman"/>
        </w:rPr>
      </w:pPr>
    </w:p>
    <w:p>
      <w:pPr>
        <w:spacing w:line="388" w:lineRule="exact"/>
        <w:ind w:left="780"/>
        <w:rPr>
          <w:rFonts w:ascii="宋体" w:hAnsi="宋体" w:eastAsia="宋体"/>
          <w:sz w:val="32"/>
        </w:rPr>
      </w:pPr>
      <w:r>
        <w:rPr>
          <w:rFonts w:ascii="宋体" w:hAnsi="宋体" w:eastAsia="宋体"/>
          <w:sz w:val="32"/>
        </w:rPr>
        <w:t>从决算编报单位构成看，纳入</w:t>
      </w:r>
      <w:r>
        <w:rPr>
          <w:rFonts w:ascii="Arial" w:hAnsi="Arial" w:eastAsia="Arial"/>
          <w:sz w:val="32"/>
        </w:rPr>
        <w:t xml:space="preserve"> 2018 </w:t>
      </w:r>
      <w:r>
        <w:rPr>
          <w:rFonts w:ascii="宋体" w:hAnsi="宋体" w:eastAsia="宋体"/>
          <w:sz w:val="32"/>
        </w:rPr>
        <w:t>年度本部门决算汇编范</w:t>
      </w:r>
    </w:p>
    <w:p>
      <w:pPr>
        <w:spacing w:line="212" w:lineRule="exact"/>
        <w:rPr>
          <w:rFonts w:ascii="Times New Roman" w:hAnsi="Times New Roman" w:eastAsia="Times New Roman"/>
        </w:rPr>
      </w:pPr>
    </w:p>
    <w:p>
      <w:pPr>
        <w:spacing w:line="360" w:lineRule="auto"/>
        <w:ind w:left="140"/>
        <w:rPr>
          <w:rFonts w:ascii="宋体" w:hAnsi="宋体" w:eastAsia="宋体"/>
          <w:sz w:val="32"/>
        </w:rPr>
      </w:pPr>
      <w:r>
        <w:rPr>
          <w:rFonts w:ascii="宋体" w:hAnsi="宋体" w:eastAsia="宋体"/>
          <w:sz w:val="32"/>
        </w:rPr>
        <w:t>围的独立核算单位（以下简称</w:t>
      </w:r>
      <w:r>
        <w:rPr>
          <w:rFonts w:ascii="Arial" w:hAnsi="Arial" w:eastAsia="Arial"/>
          <w:sz w:val="32"/>
        </w:rPr>
        <w:t>“</w:t>
      </w:r>
      <w:r>
        <w:rPr>
          <w:rFonts w:ascii="宋体" w:hAnsi="宋体" w:eastAsia="宋体"/>
          <w:sz w:val="32"/>
        </w:rPr>
        <w:t>单位</w:t>
      </w:r>
      <w:r>
        <w:rPr>
          <w:rFonts w:ascii="Arial" w:hAnsi="Arial" w:eastAsia="Arial"/>
          <w:sz w:val="32"/>
        </w:rPr>
        <w:t>”</w:t>
      </w:r>
      <w:r>
        <w:rPr>
          <w:rFonts w:ascii="宋体" w:hAnsi="宋体" w:eastAsia="宋体"/>
          <w:sz w:val="32"/>
        </w:rPr>
        <w:t>）共</w:t>
      </w:r>
      <w:r>
        <w:rPr>
          <w:rFonts w:ascii="Arial" w:hAnsi="Arial" w:eastAsia="Arial"/>
          <w:sz w:val="32"/>
        </w:rPr>
        <w:t xml:space="preserve"> </w:t>
      </w:r>
      <w:r>
        <w:rPr>
          <w:rFonts w:hint="eastAsia" w:ascii="Arial" w:hAnsi="Arial" w:eastAsia="宋体"/>
          <w:sz w:val="32"/>
          <w:lang w:val="en-US" w:eastAsia="zh-CN"/>
        </w:rPr>
        <w:t>1</w:t>
      </w:r>
      <w:r>
        <w:rPr>
          <w:rFonts w:ascii="宋体" w:hAnsi="宋体" w:eastAsia="宋体"/>
          <w:sz w:val="32"/>
        </w:rPr>
        <w:t>个，</w:t>
      </w:r>
      <w:r>
        <w:rPr>
          <w:rFonts w:hint="eastAsia" w:ascii="宋体" w:hAnsi="宋体" w:eastAsia="宋体"/>
          <w:sz w:val="32"/>
          <w:szCs w:val="22"/>
          <w:lang w:eastAsia="zh-CN"/>
        </w:rPr>
        <w:t>内设党政办公室、农业办公室、财经办公室、社会事务办公室、计划生育办公室</w:t>
      </w:r>
      <w:r>
        <w:rPr>
          <w:rFonts w:hint="eastAsia" w:ascii="宋体" w:hAnsi="宋体" w:eastAsia="宋体"/>
          <w:sz w:val="32"/>
          <w:szCs w:val="22"/>
          <w:lang w:val="en-US" w:eastAsia="zh-CN"/>
        </w:rPr>
        <w:t>6个行政科室；内设农业和乡镇企业综合服务站、社会公益事业服务站、计划生育服务站3个事业科室。</w:t>
      </w:r>
      <w:r>
        <w:rPr>
          <w:rFonts w:ascii="宋体" w:hAnsi="宋体" w:eastAsia="宋体"/>
          <w:sz w:val="32"/>
          <w:szCs w:val="22"/>
        </w:rPr>
        <w:t>具体情况如</w:t>
      </w:r>
      <w:r>
        <w:rPr>
          <w:rFonts w:ascii="宋体" w:hAnsi="宋体" w:eastAsia="宋体"/>
          <w:sz w:val="32"/>
        </w:rPr>
        <w:t>下：</w:t>
      </w:r>
    </w:p>
    <w:p>
      <w:pPr>
        <w:spacing w:line="55" w:lineRule="exact"/>
        <w:rPr>
          <w:rFonts w:ascii="Times New Roman" w:hAnsi="Times New Roman" w:eastAsia="Times New Roman"/>
        </w:rPr>
      </w:pPr>
    </w:p>
    <w:tbl>
      <w:tblPr>
        <w:tblStyle w:val="4"/>
        <w:tblW w:w="9040" w:type="dxa"/>
        <w:tblInd w:w="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0"/>
        <w:gridCol w:w="1960"/>
        <w:gridCol w:w="2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320" w:lineRule="exact"/>
              <w:ind w:left="1580"/>
              <w:rPr>
                <w:rFonts w:ascii="黑体" w:hAnsi="黑体" w:eastAsia="黑体"/>
                <w:sz w:val="28"/>
              </w:rPr>
            </w:pPr>
            <w:r>
              <w:rPr>
                <w:rFonts w:ascii="黑体" w:hAnsi="黑体" w:eastAsia="黑体"/>
                <w:sz w:val="28"/>
              </w:rPr>
              <w:t>单位名称</w:t>
            </w:r>
          </w:p>
        </w:tc>
        <w:tc>
          <w:tcPr>
            <w:tcW w:w="19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320" w:lineRule="exact"/>
              <w:ind w:left="400"/>
              <w:rPr>
                <w:rFonts w:ascii="黑体" w:hAnsi="黑体" w:eastAsia="黑体"/>
                <w:sz w:val="28"/>
              </w:rPr>
            </w:pPr>
            <w:r>
              <w:rPr>
                <w:rFonts w:ascii="黑体" w:hAnsi="黑体" w:eastAsia="黑体"/>
                <w:sz w:val="28"/>
              </w:rPr>
              <w:t>单位性质</w:t>
            </w:r>
          </w:p>
        </w:tc>
        <w:tc>
          <w:tcPr>
            <w:tcW w:w="27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320" w:lineRule="exact"/>
              <w:ind w:left="540"/>
              <w:rPr>
                <w:rFonts w:ascii="黑体" w:hAnsi="黑体" w:eastAsia="黑体"/>
                <w:sz w:val="28"/>
              </w:rPr>
            </w:pPr>
            <w:r>
              <w:rPr>
                <w:rFonts w:ascii="黑体" w:hAnsi="黑体" w:eastAsia="黑体"/>
                <w:sz w:val="28"/>
              </w:rPr>
              <w:t>经费保障形式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100"/>
              <w:rPr>
                <w:rFonts w:hint="eastAsia" w:ascii="宋体" w:hAnsi="宋体" w:eastAsia="宋体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lang w:eastAsia="zh-CN"/>
              </w:rPr>
              <w:t>凤岗街道办事处</w:t>
            </w:r>
          </w:p>
        </w:tc>
        <w:tc>
          <w:tcPr>
            <w:tcW w:w="19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8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行政单位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left="10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财政拨款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4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</w:tbl>
    <w:p>
      <w:pPr>
        <w:rPr>
          <w:rFonts w:ascii="Times New Roman" w:hAnsi="Times New Roman" w:eastAsia="Times New Roman"/>
          <w:sz w:val="9"/>
        </w:rPr>
        <w:sectPr>
          <w:pgSz w:w="11900" w:h="16838"/>
          <w:pgMar w:top="1440" w:right="1386" w:bottom="776" w:left="1440" w:header="0" w:footer="0" w:gutter="0"/>
          <w:cols w:equalWidth="0" w:num="1">
            <w:col w:w="9080"/>
          </w:cols>
          <w:docGrid w:linePitch="360" w:charSpace="0"/>
        </w:sectPr>
      </w:pPr>
    </w:p>
    <w:p>
      <w:pPr>
        <w:spacing w:line="263" w:lineRule="exact"/>
        <w:ind w:right="-79"/>
        <w:jc w:val="both"/>
        <w:rPr>
          <w:rFonts w:ascii="黑体" w:hAnsi="黑体" w:eastAsia="黑体"/>
          <w:sz w:val="23"/>
        </w:rPr>
      </w:pPr>
    </w:p>
    <w:p>
      <w:pPr>
        <w:spacing w:line="263" w:lineRule="exact"/>
        <w:ind w:right="-79"/>
        <w:jc w:val="both"/>
        <w:rPr>
          <w:rFonts w:ascii="黑体" w:hAnsi="黑体" w:eastAsia="黑体"/>
          <w:sz w:val="23"/>
        </w:rPr>
      </w:pPr>
    </w:p>
    <w:p>
      <w:pPr>
        <w:spacing w:line="263" w:lineRule="exact"/>
        <w:ind w:right="-79"/>
        <w:jc w:val="both"/>
        <w:rPr>
          <w:rFonts w:ascii="黑体" w:hAnsi="黑体" w:eastAsia="黑体"/>
          <w:sz w:val="23"/>
        </w:rPr>
      </w:pPr>
    </w:p>
    <w:p>
      <w:pPr>
        <w:spacing w:line="263" w:lineRule="exact"/>
        <w:ind w:right="-79"/>
        <w:jc w:val="both"/>
        <w:rPr>
          <w:rFonts w:ascii="黑体" w:hAnsi="黑体" w:eastAsia="黑体"/>
          <w:sz w:val="23"/>
        </w:rPr>
      </w:pPr>
    </w:p>
    <w:p>
      <w:pPr>
        <w:spacing w:line="263" w:lineRule="exact"/>
        <w:ind w:right="-79"/>
        <w:jc w:val="both"/>
        <w:rPr>
          <w:rFonts w:ascii="黑体" w:hAnsi="黑体" w:eastAsia="黑体"/>
          <w:sz w:val="23"/>
        </w:rPr>
      </w:pPr>
    </w:p>
    <w:p>
      <w:pPr>
        <w:spacing w:line="263" w:lineRule="exact"/>
        <w:ind w:right="-79"/>
        <w:jc w:val="both"/>
        <w:rPr>
          <w:rFonts w:ascii="黑体" w:hAnsi="黑体" w:eastAsia="黑体"/>
          <w:sz w:val="23"/>
        </w:rPr>
      </w:pPr>
    </w:p>
    <w:p>
      <w:pPr>
        <w:spacing w:line="263" w:lineRule="exact"/>
        <w:ind w:right="-79"/>
        <w:jc w:val="both"/>
        <w:rPr>
          <w:rFonts w:ascii="黑体" w:hAnsi="黑体" w:eastAsia="黑体"/>
          <w:sz w:val="23"/>
        </w:rPr>
      </w:pPr>
    </w:p>
    <w:p>
      <w:pPr>
        <w:spacing w:line="263" w:lineRule="exact"/>
        <w:ind w:right="-79"/>
        <w:jc w:val="both"/>
        <w:rPr>
          <w:rFonts w:ascii="黑体" w:hAnsi="黑体" w:eastAsia="黑体"/>
          <w:sz w:val="23"/>
        </w:rPr>
      </w:pPr>
    </w:p>
    <w:p>
      <w:pPr>
        <w:spacing w:line="263" w:lineRule="exact"/>
        <w:ind w:right="-79"/>
        <w:jc w:val="both"/>
        <w:rPr>
          <w:rFonts w:ascii="黑体" w:hAnsi="黑体" w:eastAsia="黑体"/>
          <w:sz w:val="23"/>
        </w:rPr>
      </w:pPr>
    </w:p>
    <w:p>
      <w:pPr>
        <w:spacing w:line="263" w:lineRule="exact"/>
        <w:ind w:right="-79"/>
        <w:jc w:val="both"/>
        <w:rPr>
          <w:rFonts w:ascii="黑体" w:hAnsi="黑体" w:eastAsia="黑体"/>
          <w:sz w:val="23"/>
        </w:rPr>
      </w:pPr>
    </w:p>
    <w:p>
      <w:pPr>
        <w:spacing w:line="263" w:lineRule="exact"/>
        <w:ind w:right="-79"/>
        <w:jc w:val="both"/>
        <w:rPr>
          <w:rFonts w:ascii="黑体" w:hAnsi="黑体" w:eastAsia="黑体"/>
          <w:sz w:val="23"/>
        </w:rPr>
      </w:pPr>
    </w:p>
    <w:p>
      <w:pPr>
        <w:spacing w:line="263" w:lineRule="exact"/>
        <w:ind w:right="-79"/>
        <w:jc w:val="both"/>
        <w:rPr>
          <w:rFonts w:ascii="黑体" w:hAnsi="黑体" w:eastAsia="黑体"/>
          <w:sz w:val="23"/>
        </w:rPr>
      </w:pPr>
    </w:p>
    <w:p>
      <w:pPr>
        <w:spacing w:line="263" w:lineRule="exact"/>
        <w:ind w:right="-79"/>
        <w:jc w:val="both"/>
        <w:rPr>
          <w:rFonts w:ascii="黑体" w:hAnsi="黑体" w:eastAsia="黑体"/>
          <w:sz w:val="23"/>
        </w:rPr>
      </w:pPr>
    </w:p>
    <w:p>
      <w:pPr>
        <w:spacing w:line="263" w:lineRule="exact"/>
        <w:ind w:right="-79"/>
        <w:jc w:val="both"/>
        <w:rPr>
          <w:rFonts w:ascii="黑体" w:hAnsi="黑体" w:eastAsia="黑体"/>
          <w:sz w:val="23"/>
        </w:rPr>
      </w:pPr>
    </w:p>
    <w:p>
      <w:pPr>
        <w:spacing w:line="263" w:lineRule="exact"/>
        <w:ind w:right="-79"/>
        <w:jc w:val="both"/>
        <w:rPr>
          <w:rFonts w:ascii="黑体" w:hAnsi="黑体" w:eastAsia="黑体"/>
          <w:sz w:val="23"/>
        </w:rPr>
      </w:pPr>
    </w:p>
    <w:p>
      <w:pPr>
        <w:spacing w:line="263" w:lineRule="exact"/>
        <w:ind w:right="-79"/>
        <w:jc w:val="both"/>
        <w:rPr>
          <w:rFonts w:ascii="黑体" w:hAnsi="黑体" w:eastAsia="黑体"/>
          <w:sz w:val="23"/>
        </w:rPr>
      </w:pPr>
    </w:p>
    <w:p>
      <w:pPr>
        <w:spacing w:line="263" w:lineRule="exact"/>
        <w:ind w:right="-79"/>
        <w:jc w:val="both"/>
        <w:rPr>
          <w:rFonts w:ascii="黑体" w:hAnsi="黑体" w:eastAsia="黑体"/>
          <w:sz w:val="23"/>
        </w:rPr>
      </w:pPr>
    </w:p>
    <w:p>
      <w:pPr>
        <w:spacing w:line="263" w:lineRule="exact"/>
        <w:ind w:right="-79"/>
        <w:jc w:val="both"/>
        <w:rPr>
          <w:rFonts w:ascii="黑体" w:hAnsi="黑体" w:eastAsia="黑体"/>
          <w:sz w:val="23"/>
        </w:rPr>
      </w:pPr>
    </w:p>
    <w:p>
      <w:pPr>
        <w:spacing w:line="263" w:lineRule="exact"/>
        <w:ind w:right="-79"/>
        <w:jc w:val="both"/>
        <w:rPr>
          <w:rFonts w:ascii="黑体" w:hAnsi="黑体" w:eastAsia="黑体"/>
          <w:sz w:val="23"/>
        </w:rPr>
      </w:pPr>
    </w:p>
    <w:p>
      <w:pPr>
        <w:spacing w:line="263" w:lineRule="exact"/>
        <w:ind w:right="-79"/>
        <w:jc w:val="both"/>
        <w:rPr>
          <w:rFonts w:ascii="黑体" w:hAnsi="黑体" w:eastAsia="黑体"/>
          <w:sz w:val="23"/>
        </w:rPr>
      </w:pPr>
    </w:p>
    <w:p>
      <w:pPr>
        <w:spacing w:line="263" w:lineRule="exact"/>
        <w:ind w:right="-79"/>
        <w:jc w:val="both"/>
        <w:rPr>
          <w:rFonts w:ascii="黑体" w:hAnsi="黑体" w:eastAsia="黑体"/>
          <w:sz w:val="23"/>
        </w:rPr>
      </w:pPr>
    </w:p>
    <w:p>
      <w:pPr>
        <w:spacing w:line="263" w:lineRule="exact"/>
        <w:ind w:right="-79"/>
        <w:jc w:val="both"/>
        <w:rPr>
          <w:rFonts w:ascii="黑体" w:hAnsi="黑体" w:eastAsia="黑体"/>
          <w:sz w:val="23"/>
        </w:rPr>
      </w:pPr>
    </w:p>
    <w:p>
      <w:pPr>
        <w:spacing w:line="263" w:lineRule="exact"/>
        <w:ind w:right="-79"/>
        <w:jc w:val="both"/>
        <w:rPr>
          <w:rFonts w:ascii="黑体" w:hAnsi="黑体" w:eastAsia="黑体"/>
          <w:sz w:val="23"/>
        </w:rPr>
      </w:pPr>
    </w:p>
    <w:p>
      <w:pPr>
        <w:spacing w:line="263" w:lineRule="exact"/>
        <w:ind w:right="-79"/>
        <w:jc w:val="both"/>
        <w:rPr>
          <w:rFonts w:ascii="黑体" w:hAnsi="黑体" w:eastAsia="黑体"/>
          <w:sz w:val="23"/>
        </w:rPr>
      </w:pPr>
    </w:p>
    <w:p>
      <w:pPr>
        <w:spacing w:line="263" w:lineRule="exact"/>
        <w:ind w:right="-79"/>
        <w:jc w:val="both"/>
        <w:rPr>
          <w:rFonts w:ascii="黑体" w:hAnsi="黑体" w:eastAsia="黑体"/>
          <w:sz w:val="23"/>
        </w:rPr>
      </w:pPr>
    </w:p>
    <w:p>
      <w:pPr>
        <w:spacing w:line="263" w:lineRule="exact"/>
        <w:ind w:right="-79"/>
        <w:jc w:val="both"/>
        <w:rPr>
          <w:rFonts w:ascii="黑体" w:hAnsi="黑体" w:eastAsia="黑体"/>
          <w:sz w:val="23"/>
        </w:rPr>
      </w:pPr>
    </w:p>
    <w:p>
      <w:pPr>
        <w:spacing w:line="263" w:lineRule="exact"/>
        <w:ind w:right="-79"/>
        <w:jc w:val="both"/>
        <w:rPr>
          <w:rFonts w:ascii="黑体" w:hAnsi="黑体" w:eastAsia="黑体"/>
          <w:sz w:val="23"/>
        </w:rPr>
      </w:pPr>
    </w:p>
    <w:p>
      <w:pPr>
        <w:spacing w:line="263" w:lineRule="exact"/>
        <w:ind w:right="-79"/>
        <w:jc w:val="both"/>
        <w:rPr>
          <w:rFonts w:ascii="黑体" w:hAnsi="黑体" w:eastAsia="黑体"/>
          <w:sz w:val="23"/>
        </w:rPr>
      </w:pPr>
    </w:p>
    <w:p>
      <w:pPr>
        <w:widowControl/>
        <w:spacing w:line="580" w:lineRule="exact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第二部分  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</w:rPr>
        <w:t>201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</w:rPr>
        <w:t>年部门算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eastAsia="zh-CN"/>
        </w:rPr>
        <w:t>表</w:t>
      </w:r>
    </w:p>
    <w:p>
      <w:pPr>
        <w:spacing w:line="263" w:lineRule="exact"/>
        <w:ind w:right="-79"/>
        <w:jc w:val="both"/>
        <w:rPr>
          <w:rFonts w:ascii="黑体" w:hAnsi="黑体" w:eastAsia="黑体"/>
          <w:sz w:val="23"/>
        </w:rPr>
      </w:pPr>
    </w:p>
    <w:p>
      <w:pPr>
        <w:spacing w:line="263" w:lineRule="exact"/>
        <w:ind w:right="-79"/>
        <w:jc w:val="both"/>
        <w:rPr>
          <w:rFonts w:ascii="黑体" w:hAnsi="黑体" w:eastAsia="黑体"/>
          <w:sz w:val="23"/>
        </w:rPr>
        <w:sectPr>
          <w:type w:val="continuous"/>
          <w:pgSz w:w="11900" w:h="16838"/>
          <w:pgMar w:top="1440" w:right="1386" w:bottom="776" w:left="1440" w:header="0" w:footer="0" w:gutter="0"/>
          <w:cols w:equalWidth="0" w:num="1">
            <w:col w:w="9080"/>
          </w:cols>
          <w:docGrid w:linePitch="360" w:charSpace="0"/>
        </w:sectPr>
      </w:pPr>
      <w: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331470</wp:posOffset>
            </wp:positionV>
            <wp:extent cx="6187440" cy="4358005"/>
            <wp:effectExtent l="0" t="0" r="3810" b="44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4358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6" w:lineRule="exact"/>
        <w:ind w:left="2680"/>
        <w:rPr>
          <w:rFonts w:hint="eastAsia" w:ascii="宋体" w:hAnsi="宋体" w:eastAsia="宋体"/>
          <w:sz w:val="32"/>
          <w:lang w:val="en-US" w:eastAsia="zh-CN"/>
        </w:rPr>
        <w:sectPr>
          <w:pgSz w:w="11900" w:h="16838"/>
          <w:pgMar w:top="1414" w:right="1440" w:bottom="776" w:left="180" w:header="0" w:footer="0" w:gutter="0"/>
          <w:cols w:equalWidth="0" w:num="1">
            <w:col w:w="10286"/>
          </w:cols>
          <w:docGrid w:linePitch="360" w:charSpace="0"/>
        </w:sectPr>
      </w:pPr>
      <w: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2982595</wp:posOffset>
            </wp:positionV>
            <wp:extent cx="6070600" cy="3827780"/>
            <wp:effectExtent l="0" t="0" r="6350" b="127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382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-571500</wp:posOffset>
            </wp:positionV>
            <wp:extent cx="6073775" cy="3436620"/>
            <wp:effectExtent l="0" t="0" r="3175" b="1143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3775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32"/>
          <w:lang w:val="en-US" w:eastAsia="zh-CN"/>
        </w:rPr>
        <w:t xml:space="preserve">   </w:t>
      </w:r>
    </w:p>
    <w:p>
      <w:r>
        <w:drawing>
          <wp:inline distT="0" distB="0" distL="114300" distR="114300">
            <wp:extent cx="5582285" cy="4135755"/>
            <wp:effectExtent l="0" t="0" r="18415" b="1714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2285" cy="4135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404485" cy="4587240"/>
            <wp:effectExtent l="0" t="0" r="5715" b="381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4485" cy="4587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068695" cy="3562350"/>
            <wp:effectExtent l="0" t="0" r="8255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869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6070600" cy="982980"/>
            <wp:effectExtent l="0" t="0" r="6350" b="762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6069965" cy="1708150"/>
            <wp:effectExtent l="0" t="0" r="6985" b="635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69965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6075680" cy="2502535"/>
            <wp:effectExtent l="0" t="0" r="1270" b="12065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75680" cy="2502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drawing>
          <wp:inline distT="0" distB="0" distL="114300" distR="114300">
            <wp:extent cx="6070600" cy="2576830"/>
            <wp:effectExtent l="0" t="0" r="6350" b="13970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pPr>
        <w:widowControl/>
        <w:spacing w:line="580" w:lineRule="exact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/>
        <w:spacing w:line="580" w:lineRule="exact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/>
        <w:spacing w:line="580" w:lineRule="exact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/>
        <w:spacing w:line="580" w:lineRule="exact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/>
        <w:spacing w:line="580" w:lineRule="exact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/>
        <w:spacing w:line="58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第三部分  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</w:rPr>
        <w:t>201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</w:rPr>
        <w:t>年部门决算情况说明</w:t>
      </w: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outlineLvl w:val="9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一、收入支出决算总体情况说明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本部门 2018 年度收支总计（含结转和结余）1555.72 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与2017 年度决算相比，收支各增加 115.38万元，增长8%，主要原因是一般公共预算收入增加。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二、收入决算情况说明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本部门 2018 年度本年收入合计1549.65万元，为财政拨款收入。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三、支出决算情况说明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本部门 2018 年度本年支出合计 1511.32万元，其中：基本支出 588万元，占 38.91%；项目支出923.32 万元，占61.09%。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四、财政拨款收入支出决算情况说明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outlineLvl w:val="9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（一）财政拨款收支与 2017年度决算对比情况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本部门 2018 年度形成的财政拨款收支均为一般公共预算财政拨款，其中一般公共预算财政拨款本年收入1549.65 万元,比 2017 年度增加 115.38 万元，增长 8%，主要是一般公共预算收入增加，本年支出 1511.32万元，增加77.06万元，增长 5%，主要原因同收入增长原因。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outlineLvl w:val="9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（二）财政拨款收支与年初预算数对比情况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本部门 2018 年度一般公共预算财政拨款收入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1549.65</w:t>
      </w:r>
      <w:r>
        <w:rPr>
          <w:rFonts w:hint="eastAsia" w:ascii="宋体" w:hAnsi="宋体" w:eastAsia="宋体" w:cs="宋体"/>
          <w:sz w:val="30"/>
          <w:szCs w:val="30"/>
        </w:rPr>
        <w:t xml:space="preserve"> 万元，完成年初预算的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106.58</w:t>
      </w:r>
      <w:r>
        <w:rPr>
          <w:rFonts w:hint="eastAsia" w:ascii="宋体" w:hAnsi="宋体" w:eastAsia="宋体" w:cs="宋体"/>
          <w:sz w:val="30"/>
          <w:szCs w:val="30"/>
        </w:rPr>
        <w:t>%,比年初预算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增加</w:t>
      </w:r>
      <w:r>
        <w:rPr>
          <w:rFonts w:hint="eastAsia" w:ascii="宋体" w:hAnsi="宋体" w:eastAsia="宋体" w:cs="宋体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95.74</w:t>
      </w:r>
      <w:r>
        <w:rPr>
          <w:rFonts w:hint="eastAsia" w:ascii="宋体" w:hAnsi="宋体" w:eastAsia="宋体" w:cs="宋体"/>
          <w:sz w:val="30"/>
          <w:szCs w:val="30"/>
        </w:rPr>
        <w:t xml:space="preserve">万元。本年支出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1511.32</w:t>
      </w:r>
      <w:r>
        <w:rPr>
          <w:rFonts w:hint="eastAsia" w:ascii="宋体" w:hAnsi="宋体" w:eastAsia="宋体" w:cs="宋体"/>
          <w:sz w:val="30"/>
          <w:szCs w:val="30"/>
        </w:rPr>
        <w:t>万元，完成年初预算的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103.24</w:t>
      </w:r>
      <w:r>
        <w:rPr>
          <w:rFonts w:hint="eastAsia" w:ascii="宋体" w:hAnsi="宋体" w:eastAsia="宋体" w:cs="宋体"/>
          <w:sz w:val="30"/>
          <w:szCs w:val="30"/>
        </w:rPr>
        <w:t>%,比年初预算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增加</w:t>
      </w:r>
      <w:r>
        <w:rPr>
          <w:rFonts w:hint="eastAsia" w:ascii="宋体" w:hAnsi="宋体" w:eastAsia="宋体" w:cs="宋体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47.71</w:t>
      </w:r>
      <w:r>
        <w:rPr>
          <w:rFonts w:hint="eastAsia" w:ascii="宋体" w:hAnsi="宋体" w:eastAsia="宋体" w:cs="宋体"/>
          <w:sz w:val="30"/>
          <w:szCs w:val="30"/>
        </w:rPr>
        <w:t>万元，主要原因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是一般公共预算收入增加</w:t>
      </w:r>
      <w:r>
        <w:rPr>
          <w:rFonts w:hint="eastAsia" w:ascii="宋体" w:hAnsi="宋体" w:eastAsia="宋体" w:cs="宋体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（三）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财政拨款支出决算结构情况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2018 年度财政拨款支出 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1511.32</w:t>
      </w:r>
      <w:r>
        <w:rPr>
          <w:rFonts w:hint="eastAsia" w:ascii="宋体" w:hAnsi="宋体" w:eastAsia="宋体" w:cs="宋体"/>
          <w:sz w:val="30"/>
          <w:szCs w:val="30"/>
        </w:rPr>
        <w:t xml:space="preserve">万元，主要用于以下方面：一般公共服务（类）支出 </w:t>
      </w:r>
      <w:r>
        <w:rPr>
          <w:rFonts w:hint="eastAsia" w:ascii="宋体" w:hAnsi="宋体" w:cs="宋体"/>
          <w:sz w:val="30"/>
          <w:szCs w:val="30"/>
          <w:lang w:val="en-US" w:eastAsia="zh-CN"/>
        </w:rPr>
        <w:t>752.57</w:t>
      </w:r>
      <w:r>
        <w:rPr>
          <w:rFonts w:hint="eastAsia" w:ascii="宋体" w:hAnsi="宋体" w:eastAsia="宋体" w:cs="宋体"/>
          <w:sz w:val="30"/>
          <w:szCs w:val="30"/>
        </w:rPr>
        <w:t xml:space="preserve">万元，占 </w:t>
      </w:r>
      <w:r>
        <w:rPr>
          <w:rFonts w:hint="eastAsia" w:ascii="宋体" w:hAnsi="宋体" w:cs="宋体"/>
          <w:sz w:val="30"/>
          <w:szCs w:val="30"/>
          <w:lang w:val="en-US" w:eastAsia="zh-CN"/>
        </w:rPr>
        <w:t>49.79</w:t>
      </w:r>
      <w:r>
        <w:rPr>
          <w:rFonts w:hint="eastAsia" w:ascii="宋体" w:hAnsi="宋体" w:eastAsia="宋体" w:cs="宋体"/>
          <w:sz w:val="30"/>
          <w:szCs w:val="30"/>
        </w:rPr>
        <w:t>%；</w:t>
      </w:r>
      <w:r>
        <w:rPr>
          <w:rFonts w:hint="eastAsia" w:ascii="宋体" w:hAnsi="宋体" w:cs="宋体"/>
          <w:sz w:val="30"/>
          <w:szCs w:val="30"/>
          <w:lang w:eastAsia="zh-CN"/>
        </w:rPr>
        <w:t>社会保障和就业</w:t>
      </w:r>
      <w:r>
        <w:rPr>
          <w:rFonts w:hint="eastAsia" w:ascii="宋体" w:hAnsi="宋体" w:eastAsia="宋体" w:cs="宋体"/>
          <w:sz w:val="30"/>
          <w:szCs w:val="30"/>
        </w:rPr>
        <w:t xml:space="preserve">（类）支出 </w:t>
      </w:r>
      <w:r>
        <w:rPr>
          <w:rFonts w:hint="eastAsia" w:ascii="宋体" w:hAnsi="宋体" w:cs="宋体"/>
          <w:sz w:val="30"/>
          <w:szCs w:val="30"/>
          <w:lang w:val="en-US" w:eastAsia="zh-CN"/>
        </w:rPr>
        <w:t>96.87</w:t>
      </w:r>
      <w:r>
        <w:rPr>
          <w:rFonts w:hint="eastAsia" w:ascii="宋体" w:hAnsi="宋体" w:eastAsia="宋体" w:cs="宋体"/>
          <w:sz w:val="30"/>
          <w:szCs w:val="30"/>
        </w:rPr>
        <w:t xml:space="preserve">万元，占 </w:t>
      </w:r>
      <w:r>
        <w:rPr>
          <w:rFonts w:hint="eastAsia" w:ascii="宋体" w:hAnsi="宋体" w:cs="宋体"/>
          <w:sz w:val="30"/>
          <w:szCs w:val="30"/>
          <w:lang w:val="en-US" w:eastAsia="zh-CN"/>
        </w:rPr>
        <w:t>6.41</w:t>
      </w:r>
      <w:r>
        <w:rPr>
          <w:rFonts w:hint="eastAsia" w:ascii="宋体" w:hAnsi="宋体" w:eastAsia="宋体" w:cs="宋体"/>
          <w:sz w:val="30"/>
          <w:szCs w:val="30"/>
        </w:rPr>
        <w:t>%；</w:t>
      </w:r>
      <w:r>
        <w:rPr>
          <w:rFonts w:hint="eastAsia" w:ascii="宋体" w:hAnsi="宋体" w:cs="宋体"/>
          <w:sz w:val="30"/>
          <w:szCs w:val="30"/>
          <w:lang w:eastAsia="zh-CN"/>
        </w:rPr>
        <w:t>医疗卫生与计划生育</w:t>
      </w:r>
      <w:r>
        <w:rPr>
          <w:rFonts w:hint="eastAsia" w:ascii="宋体" w:hAnsi="宋体" w:eastAsia="宋体" w:cs="宋体"/>
          <w:sz w:val="30"/>
          <w:szCs w:val="30"/>
        </w:rPr>
        <w:t xml:space="preserve">（类）支出 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16.23</w:t>
      </w:r>
      <w:r>
        <w:rPr>
          <w:rFonts w:hint="eastAsia" w:ascii="宋体" w:hAnsi="宋体" w:eastAsia="宋体" w:cs="宋体"/>
          <w:sz w:val="30"/>
          <w:szCs w:val="30"/>
        </w:rPr>
        <w:t xml:space="preserve">万元，占 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1.07</w:t>
      </w:r>
      <w:r>
        <w:rPr>
          <w:rFonts w:hint="eastAsia" w:ascii="宋体" w:hAnsi="宋体" w:eastAsia="宋体" w:cs="宋体"/>
          <w:sz w:val="30"/>
          <w:szCs w:val="30"/>
        </w:rPr>
        <w:t>%；</w:t>
      </w:r>
      <w:r>
        <w:rPr>
          <w:rFonts w:hint="eastAsia" w:ascii="宋体" w:hAnsi="宋体" w:cs="宋体"/>
          <w:sz w:val="30"/>
          <w:szCs w:val="30"/>
          <w:lang w:eastAsia="zh-CN"/>
        </w:rPr>
        <w:t>节能环保</w:t>
      </w:r>
      <w:r>
        <w:rPr>
          <w:rFonts w:hint="eastAsia" w:ascii="宋体" w:hAnsi="宋体" w:eastAsia="宋体" w:cs="宋体"/>
          <w:sz w:val="30"/>
          <w:szCs w:val="30"/>
        </w:rPr>
        <w:t xml:space="preserve">（类）支出 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182.68</w:t>
      </w:r>
      <w:r>
        <w:rPr>
          <w:rFonts w:hint="eastAsia" w:ascii="宋体" w:hAnsi="宋体" w:eastAsia="宋体" w:cs="宋体"/>
          <w:sz w:val="30"/>
          <w:szCs w:val="30"/>
        </w:rPr>
        <w:t xml:space="preserve">万元，占 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12.09</w:t>
      </w:r>
      <w:r>
        <w:rPr>
          <w:rFonts w:hint="eastAsia" w:ascii="宋体" w:hAnsi="宋体" w:eastAsia="宋体" w:cs="宋体"/>
          <w:sz w:val="30"/>
          <w:szCs w:val="30"/>
        </w:rPr>
        <w:t>%；</w:t>
      </w:r>
      <w:r>
        <w:rPr>
          <w:rFonts w:hint="eastAsia" w:ascii="宋体" w:hAnsi="宋体" w:cs="宋体"/>
          <w:sz w:val="30"/>
          <w:szCs w:val="30"/>
          <w:lang w:eastAsia="zh-CN"/>
        </w:rPr>
        <w:t>农林水</w:t>
      </w:r>
      <w:r>
        <w:rPr>
          <w:rFonts w:hint="eastAsia" w:ascii="宋体" w:hAnsi="宋体" w:eastAsia="宋体" w:cs="宋体"/>
          <w:sz w:val="30"/>
          <w:szCs w:val="30"/>
        </w:rPr>
        <w:t xml:space="preserve">（类）支出 </w:t>
      </w:r>
      <w:r>
        <w:rPr>
          <w:rFonts w:hint="eastAsia" w:ascii="宋体" w:hAnsi="宋体" w:cs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sz w:val="30"/>
          <w:szCs w:val="30"/>
        </w:rPr>
        <w:t>62.</w:t>
      </w:r>
      <w:r>
        <w:rPr>
          <w:rFonts w:hint="eastAsia" w:ascii="宋体" w:hAnsi="宋体" w:cs="宋体"/>
          <w:sz w:val="30"/>
          <w:szCs w:val="30"/>
          <w:lang w:val="en-US" w:eastAsia="zh-CN"/>
        </w:rPr>
        <w:t>97</w:t>
      </w:r>
      <w:r>
        <w:rPr>
          <w:rFonts w:hint="eastAsia" w:ascii="宋体" w:hAnsi="宋体" w:eastAsia="宋体" w:cs="宋体"/>
          <w:sz w:val="30"/>
          <w:szCs w:val="30"/>
        </w:rPr>
        <w:t xml:space="preserve"> 万元，占</w:t>
      </w:r>
      <w:r>
        <w:rPr>
          <w:rFonts w:hint="eastAsia" w:ascii="宋体" w:hAnsi="宋体" w:cs="宋体"/>
          <w:sz w:val="30"/>
          <w:szCs w:val="30"/>
          <w:lang w:val="en-US" w:eastAsia="zh-CN"/>
        </w:rPr>
        <w:t>30.63</w:t>
      </w:r>
      <w:r>
        <w:rPr>
          <w:rFonts w:hint="eastAsia" w:ascii="宋体" w:hAnsi="宋体" w:eastAsia="宋体" w:cs="宋体"/>
          <w:sz w:val="30"/>
          <w:szCs w:val="30"/>
        </w:rPr>
        <w:t>%</w:t>
      </w:r>
      <w:r>
        <w:rPr>
          <w:rFonts w:hint="eastAsia" w:ascii="宋体" w:hAnsi="宋体" w:cs="宋体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（四）一般公共预算财政拨款基本支出决算情况说明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2018 年度一般公共预算财政拨款基本支出</w:t>
      </w:r>
      <w:r>
        <w:rPr>
          <w:rFonts w:hint="eastAsia" w:ascii="宋体" w:hAnsi="宋体" w:cs="宋体"/>
          <w:sz w:val="30"/>
          <w:szCs w:val="30"/>
          <w:lang w:val="en-US" w:eastAsia="zh-CN"/>
        </w:rPr>
        <w:t>587.68</w:t>
      </w:r>
      <w:r>
        <w:rPr>
          <w:rFonts w:hint="eastAsia" w:ascii="宋体" w:hAnsi="宋体" w:eastAsia="宋体" w:cs="宋体"/>
          <w:sz w:val="30"/>
          <w:szCs w:val="30"/>
        </w:rPr>
        <w:t>万元，其中：人员经费</w:t>
      </w:r>
      <w:r>
        <w:rPr>
          <w:rFonts w:hint="eastAsia" w:ascii="宋体" w:hAnsi="宋体" w:cs="宋体"/>
          <w:sz w:val="30"/>
          <w:szCs w:val="30"/>
          <w:lang w:val="en-US" w:eastAsia="zh-CN"/>
        </w:rPr>
        <w:t>558.44</w:t>
      </w:r>
      <w:r>
        <w:rPr>
          <w:rFonts w:hint="eastAsia" w:ascii="宋体" w:hAnsi="宋体" w:eastAsia="宋体" w:cs="宋体"/>
          <w:sz w:val="30"/>
          <w:szCs w:val="30"/>
        </w:rPr>
        <w:t>万元，主要包括基本工资、津贴补贴、奖金、绩效工资、机关事业单位基本养老保险缴费</w:t>
      </w:r>
      <w:r>
        <w:rPr>
          <w:rFonts w:hint="eastAsia" w:ascii="宋体" w:hAnsi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退休费、生活补助；公用经费</w:t>
      </w:r>
      <w:r>
        <w:rPr>
          <w:rFonts w:hint="eastAsia" w:ascii="宋体" w:hAnsi="宋体" w:cs="宋体"/>
          <w:sz w:val="30"/>
          <w:szCs w:val="30"/>
          <w:lang w:val="en-US" w:eastAsia="zh-CN"/>
        </w:rPr>
        <w:t>49.61</w:t>
      </w:r>
      <w:r>
        <w:rPr>
          <w:rFonts w:hint="eastAsia" w:ascii="宋体" w:hAnsi="宋体" w:eastAsia="宋体" w:cs="宋体"/>
          <w:sz w:val="30"/>
          <w:szCs w:val="30"/>
        </w:rPr>
        <w:t xml:space="preserve"> 万元，主要包括办公费、印刷费、水费、电费、邮电费、差旅费、维修（护）费、公务接待费、劳务费、工会经费、公务用车运行维护费、其他交通费用</w:t>
      </w:r>
      <w:r>
        <w:rPr>
          <w:rFonts w:hint="eastAsia" w:ascii="宋体" w:hAnsi="宋体" w:cs="宋体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outlineLvl w:val="9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（五）、一般公共预算财政拨款“三公” 经费支出决算情况说明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 xml:space="preserve">2018 年，在做好各项工作的前提下，节省各项开支，尤其是严格控制“三公”经费的支出，本部门 2018 年度“三公”经费支出共计 </w:t>
      </w:r>
      <w:r>
        <w:rPr>
          <w:rFonts w:hint="eastAsia" w:ascii="宋体" w:hAnsi="宋体" w:cs="宋体"/>
          <w:sz w:val="30"/>
          <w:szCs w:val="30"/>
          <w:lang w:val="en-US" w:eastAsia="zh-CN"/>
        </w:rPr>
        <w:t>7.6</w:t>
      </w:r>
      <w:r>
        <w:rPr>
          <w:rFonts w:hint="eastAsia" w:ascii="宋体" w:hAnsi="宋体" w:cs="宋体"/>
          <w:sz w:val="30"/>
          <w:szCs w:val="30"/>
          <w:lang w:eastAsia="zh-CN"/>
        </w:rPr>
        <w:t>万元，较年初预算减少</w:t>
      </w:r>
      <w:r>
        <w:rPr>
          <w:rFonts w:hint="eastAsia" w:ascii="宋体" w:hAnsi="宋体" w:cs="宋体"/>
          <w:sz w:val="30"/>
          <w:szCs w:val="30"/>
          <w:lang w:val="en-US" w:eastAsia="zh-CN"/>
        </w:rPr>
        <w:t>3.7</w:t>
      </w:r>
      <w:r>
        <w:rPr>
          <w:rFonts w:hint="eastAsia" w:ascii="宋体" w:hAnsi="宋体" w:cs="宋体"/>
          <w:sz w:val="30"/>
          <w:szCs w:val="30"/>
          <w:lang w:eastAsia="zh-CN"/>
        </w:rPr>
        <w:t>万元，降低</w:t>
      </w:r>
      <w:r>
        <w:rPr>
          <w:rFonts w:hint="eastAsia" w:ascii="宋体" w:hAnsi="宋体" w:cs="宋体"/>
          <w:sz w:val="30"/>
          <w:szCs w:val="30"/>
          <w:lang w:val="en-US" w:eastAsia="zh-CN"/>
        </w:rPr>
        <w:t>48.68</w:t>
      </w:r>
      <w:r>
        <w:rPr>
          <w:rFonts w:hint="eastAsia" w:ascii="宋体" w:hAnsi="宋体" w:cs="宋体"/>
          <w:sz w:val="30"/>
          <w:szCs w:val="30"/>
          <w:lang w:eastAsia="zh-CN"/>
        </w:rPr>
        <w:t>%，主要是我单位认真落实中央“八项规定”精神和厉行节约要求，管理制度不断完善，“三公”经费支出得到了有效控制，实现了只减不增的目标。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具体情况如下：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1、</w:t>
      </w:r>
      <w:r>
        <w:rPr>
          <w:rFonts w:hint="eastAsia" w:ascii="宋体" w:hAnsi="宋体" w:cs="宋体"/>
          <w:sz w:val="30"/>
          <w:szCs w:val="30"/>
          <w:lang w:eastAsia="zh-CN"/>
        </w:rPr>
        <w:t xml:space="preserve">公务用车购置及运行维护费支出 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2.2</w:t>
      </w:r>
      <w:r>
        <w:rPr>
          <w:rFonts w:hint="eastAsia" w:ascii="宋体" w:hAnsi="宋体" w:cs="宋体"/>
          <w:sz w:val="30"/>
          <w:szCs w:val="30"/>
          <w:lang w:eastAsia="zh-CN"/>
        </w:rPr>
        <w:t>万元。本部门 2018 年度公务用车购置及运行维护费较年初预算减少</w:t>
      </w:r>
      <w:r>
        <w:rPr>
          <w:rFonts w:hint="eastAsia" w:ascii="宋体" w:hAnsi="宋体" w:cs="宋体"/>
          <w:sz w:val="30"/>
          <w:szCs w:val="30"/>
          <w:lang w:val="en-US" w:eastAsia="zh-CN"/>
        </w:rPr>
        <w:t>3.5</w:t>
      </w:r>
      <w:r>
        <w:rPr>
          <w:rFonts w:hint="eastAsia" w:ascii="宋体" w:hAnsi="宋体" w:cs="宋体"/>
          <w:sz w:val="30"/>
          <w:szCs w:val="30"/>
          <w:lang w:eastAsia="zh-CN"/>
        </w:rPr>
        <w:t xml:space="preserve">万元，降低 </w:t>
      </w:r>
      <w:r>
        <w:rPr>
          <w:rFonts w:hint="eastAsia" w:ascii="宋体" w:hAnsi="宋体" w:cs="宋体"/>
          <w:sz w:val="30"/>
          <w:szCs w:val="30"/>
          <w:lang w:val="en-US" w:eastAsia="zh-CN"/>
        </w:rPr>
        <w:t>61.4</w:t>
      </w:r>
      <w:r>
        <w:rPr>
          <w:rFonts w:hint="eastAsia" w:ascii="宋体" w:hAnsi="宋体" w:cs="宋体"/>
          <w:sz w:val="30"/>
          <w:szCs w:val="30"/>
          <w:lang w:eastAsia="zh-CN"/>
        </w:rPr>
        <w:t>%,主要是单位切实压缩公务用车费用支出，相应减少公务用车运行费用支出。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2、</w:t>
      </w:r>
      <w:r>
        <w:rPr>
          <w:rFonts w:hint="eastAsia" w:ascii="宋体" w:hAnsi="宋体" w:cs="宋体"/>
          <w:sz w:val="30"/>
          <w:szCs w:val="30"/>
          <w:lang w:eastAsia="zh-CN"/>
        </w:rPr>
        <w:t xml:space="preserve">公务接待费支出 </w:t>
      </w:r>
      <w:r>
        <w:rPr>
          <w:rFonts w:hint="eastAsia" w:ascii="宋体" w:hAnsi="宋体" w:cs="宋体"/>
          <w:sz w:val="30"/>
          <w:szCs w:val="30"/>
          <w:lang w:val="en-US" w:eastAsia="zh-CN"/>
        </w:rPr>
        <w:t>5.41</w:t>
      </w:r>
      <w:r>
        <w:rPr>
          <w:rFonts w:hint="eastAsia" w:ascii="宋体" w:hAnsi="宋体" w:cs="宋体"/>
          <w:sz w:val="30"/>
          <w:szCs w:val="30"/>
          <w:lang w:eastAsia="zh-CN"/>
        </w:rPr>
        <w:t>万元。本部门 2018 年度公务接待共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126</w:t>
      </w:r>
      <w:r>
        <w:rPr>
          <w:rFonts w:hint="eastAsia" w:ascii="宋体" w:hAnsi="宋体" w:cs="宋体"/>
          <w:sz w:val="30"/>
          <w:szCs w:val="30"/>
          <w:lang w:eastAsia="zh-CN"/>
        </w:rPr>
        <w:t xml:space="preserve"> 批次、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1352</w:t>
      </w:r>
      <w:r>
        <w:rPr>
          <w:rFonts w:hint="eastAsia" w:ascii="宋体" w:hAnsi="宋体" w:cs="宋体"/>
          <w:sz w:val="30"/>
          <w:szCs w:val="30"/>
          <w:lang w:eastAsia="zh-CN"/>
        </w:rPr>
        <w:t xml:space="preserve"> 人次。公务接待费支出较年初预算减少 </w:t>
      </w:r>
      <w:r>
        <w:rPr>
          <w:rFonts w:hint="eastAsia" w:ascii="宋体" w:hAnsi="宋体" w:cs="宋体"/>
          <w:sz w:val="30"/>
          <w:szCs w:val="30"/>
          <w:lang w:val="en-US" w:eastAsia="zh-CN"/>
        </w:rPr>
        <w:t>0.19</w:t>
      </w:r>
      <w:r>
        <w:rPr>
          <w:rFonts w:hint="eastAsia" w:ascii="宋体" w:hAnsi="宋体" w:cs="宋体"/>
          <w:sz w:val="30"/>
          <w:szCs w:val="30"/>
          <w:lang w:eastAsia="zh-CN"/>
        </w:rPr>
        <w:t xml:space="preserve">万元，降低 </w:t>
      </w:r>
      <w:r>
        <w:rPr>
          <w:rFonts w:hint="eastAsia" w:ascii="宋体" w:hAnsi="宋体" w:cs="宋体"/>
          <w:sz w:val="30"/>
          <w:szCs w:val="30"/>
          <w:lang w:val="en-US" w:eastAsia="zh-CN"/>
        </w:rPr>
        <w:t>0.03</w:t>
      </w:r>
      <w:r>
        <w:rPr>
          <w:rFonts w:hint="eastAsia" w:ascii="宋体" w:hAnsi="宋体" w:cs="宋体"/>
          <w:sz w:val="30"/>
          <w:szCs w:val="30"/>
          <w:lang w:eastAsia="zh-CN"/>
        </w:rPr>
        <w:t>%,主要是积极贯彻落实中央和省委省政府关于厉行节约的要求，严控公务接待费支出。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ascii="黑体" w:hAnsi="黑体" w:eastAsia="黑体"/>
          <w:sz w:val="32"/>
        </w:rPr>
        <w:t>六、预算绩效情况说明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（一）总体情况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60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201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年，我处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紧紧围绕南宫市委市政府决策部署，预算安排各项资金，强力推进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小城镇建设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，扎实推进东进街西延拆迁，加快构建覆盖城乡的交通体系，组织开展乡村两级党员干部培训，全力维护社会和谐稳定，为经济强市、美丽凤岗提供保障。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绩效自评开展情况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64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前期准备。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成立以办事处任组长，各分管副职任副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 xml:space="preserve">组长，财政所、纪委等部门为成员的绩效评价工作组，统筹组织开展绩效评价工作。召开专题会议研究部署，认真传达学习《关于做好 2018 年省直部门绩效自评工作的通知》等文件精神，明确目标任务，落实责任分工，确保自评工作扎实有效开展。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2、组织实施。对于其他资金使用进行综合自评，采取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收集、审核资料、现场核实、综合评价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等措施进行定量定性的评价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最后分别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形成结论。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3、分析评价。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根据评价，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对发现的问题提出意见和建议，按照规定的文本格式和要求撰写绩效评价报告，并在规定的时间内正式提交。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三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）部门整体绩效目标的完成情况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我处对2018年度招商引资专项经费、美丽乡村基础设施建设、农业技术推广、农村环境综合整治及宣传等27个预算项目进行了预算绩效评价。绩效评价结果：2018 年度预算项目立项符合相关管理规定，绩效目标合理，绩效指标清晰，表述准确；项目业务管理制度较健全，业务监控有效性较好；财务管理制度规范，并建立了相应的财务审核及监控措施和手段，内部控制严格有效；项目任务完成质量较好，具有时效性；项目绩效成果很好，社会效益显著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七、其他重要事项的说明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（一）机关运行经费情况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本部门 2018 年度机关运行经费支出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49.93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万元，比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上年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减少 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2.76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万元，降低 5.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.24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%。主要原因是我厅坚持厉行节约，从严控制机关运行中的各类一般性支出。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（二）政府采购情况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60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本部门 2018 年度政府采购支出总额 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25.29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万元，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为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政府采购货物支出 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640" w:leftChars="0" w:right="0" w:rightChars="0"/>
        <w:jc w:val="left"/>
        <w:textAlignment w:val="auto"/>
        <w:outlineLvl w:val="9"/>
        <w:rPr>
          <w:rFonts w:ascii="楷体" w:hAnsi="楷体" w:eastAsia="楷体"/>
          <w:b/>
          <w:sz w:val="32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（三）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国有资产占用情况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4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截止2018年12月31日，本部门共有车辆1辆，为一般公务用车。单价50万元以上的设备0台（套），单价100万元以上的设备0台（套）。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4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2018年初资产总值386.6万元，年末578.01万元。年末资产中，流动资产218.88万元，固定资产359.13万元。固定资产中，房屋222.09万元、车辆19.98万元、其他固定资产117.06万元（主要为通用设备、专用设备、办公家具及用具装具等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64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（四）其他需要说明的情况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4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我部门不涉及《政府性基金预算财政拨款收入支出决算表》 和《国有资本经营预算财政拨款收入支出决算表》，因此均为空表。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spacing w:line="366" w:lineRule="exact"/>
        <w:rPr>
          <w:rFonts w:ascii="楷体" w:hAnsi="楷体" w:eastAsia="楷体"/>
          <w:b/>
          <w:sz w:val="32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楷体" w:hAnsi="楷体" w:eastAsia="楷体"/>
          <w:b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宋体" w:hAnsi="宋体" w:cs="宋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宋体" w:hAnsi="宋体" w:cs="宋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宋体" w:hAnsi="宋体" w:cs="宋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宋体" w:hAnsi="宋体" w:cs="宋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宋体" w:hAnsi="宋体" w:cs="宋体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0F20"/>
    <w:multiLevelType w:val="singleLevel"/>
    <w:tmpl w:val="5B6C0F20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B6C0FA3"/>
    <w:multiLevelType w:val="singleLevel"/>
    <w:tmpl w:val="5B6C0FA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24480"/>
    <w:rsid w:val="053915D1"/>
    <w:rsid w:val="4D62201C"/>
    <w:rsid w:val="5D4772F1"/>
    <w:rsid w:val="5D5E1D8B"/>
    <w:rsid w:val="61924480"/>
    <w:rsid w:val="62F957E1"/>
    <w:rsid w:val="79854ECF"/>
    <w:rsid w:val="7A536F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emf"/><Relationship Id="rId8" Type="http://schemas.openxmlformats.org/officeDocument/2006/relationships/image" Target="media/image5.emf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emf"/><Relationship Id="rId12" Type="http://schemas.openxmlformats.org/officeDocument/2006/relationships/image" Target="media/image9.emf"/><Relationship Id="rId11" Type="http://schemas.openxmlformats.org/officeDocument/2006/relationships/image" Target="media/image8.emf"/><Relationship Id="rId10" Type="http://schemas.openxmlformats.org/officeDocument/2006/relationships/image" Target="media/image7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2019-10-21T06:53:00Z</dcterms:created>
  <dc:creator>Administrator</dc:creator>
  <cp:lastModifiedBy>Administrator</cp:lastModifiedBy>
  <dcterms:modified xsi:type="dcterms:W3CDTF">2019-10-22T00:34:12Z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