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6" w:lineRule="exact"/>
        <w:ind w:left="1228" w:right="1208"/>
        <w:jc w:val="center"/>
        <w:rPr>
          <w:rFonts w:hint="eastAsia" w:ascii="微软雅黑" w:hAnsi="微软雅黑" w:eastAsia="微软雅黑" w:cs="微软雅黑"/>
          <w:w w:val="85"/>
          <w:position w:val="2"/>
          <w:sz w:val="72"/>
          <w:szCs w:val="72"/>
          <w:lang w:val="en-US" w:eastAsia="zh-CN"/>
        </w:rPr>
      </w:pPr>
    </w:p>
    <w:p>
      <w:pPr>
        <w:spacing w:line="826" w:lineRule="exact"/>
        <w:ind w:right="1208"/>
        <w:jc w:val="both"/>
        <w:rPr>
          <w:rFonts w:hint="eastAsia" w:ascii="微软雅黑" w:hAnsi="微软雅黑" w:eastAsia="微软雅黑" w:cs="微软雅黑"/>
          <w:w w:val="85"/>
          <w:position w:val="2"/>
          <w:sz w:val="72"/>
          <w:szCs w:val="72"/>
          <w:lang w:val="en-US" w:eastAsia="zh-CN"/>
        </w:rPr>
      </w:pPr>
    </w:p>
    <w:p>
      <w:pPr>
        <w:spacing w:line="826" w:lineRule="exact"/>
        <w:ind w:left="1228" w:right="1208"/>
        <w:jc w:val="center"/>
        <w:rPr>
          <w:rFonts w:hint="eastAsia" w:ascii="微软雅黑" w:hAnsi="微软雅黑" w:eastAsia="微软雅黑" w:cs="微软雅黑"/>
          <w:w w:val="85"/>
          <w:position w:val="2"/>
          <w:sz w:val="72"/>
          <w:szCs w:val="72"/>
          <w:lang w:val="en-US" w:eastAsia="zh-CN"/>
        </w:rPr>
      </w:pPr>
    </w:p>
    <w:p>
      <w:pPr>
        <w:spacing w:line="924" w:lineRule="exact"/>
        <w:ind w:right="-113"/>
        <w:jc w:val="center"/>
        <w:rPr>
          <w:rFonts w:ascii="黑体" w:hAnsi="黑体" w:eastAsia="黑体"/>
          <w:sz w:val="81"/>
        </w:rPr>
      </w:pPr>
      <w:r>
        <w:rPr>
          <w:rFonts w:ascii="黑体" w:hAnsi="黑体" w:eastAsia="黑体"/>
          <w:sz w:val="81"/>
        </w:rPr>
        <w:t>2018 年度部门决算</w:t>
      </w:r>
    </w:p>
    <w:p>
      <w:pPr>
        <w:spacing w:line="290" w:lineRule="exact"/>
        <w:rPr>
          <w:rFonts w:ascii="Times New Roman" w:hAnsi="Times New Roman" w:eastAsia="Times New Roman"/>
        </w:rPr>
      </w:pPr>
    </w:p>
    <w:p>
      <w:pPr>
        <w:spacing w:line="959" w:lineRule="exact"/>
        <w:ind w:right="-113"/>
        <w:jc w:val="center"/>
        <w:rPr>
          <w:rFonts w:ascii="黑体" w:hAnsi="黑体" w:eastAsia="黑体"/>
          <w:sz w:val="84"/>
        </w:rPr>
      </w:pPr>
      <w:r>
        <w:rPr>
          <w:rFonts w:ascii="黑体" w:hAnsi="黑体" w:eastAsia="黑体"/>
          <w:sz w:val="84"/>
        </w:rPr>
        <w:t>公开文本</w:t>
      </w:r>
    </w:p>
    <w:p>
      <w:pPr>
        <w:spacing w:line="924" w:lineRule="exact"/>
        <w:ind w:right="-113"/>
        <w:jc w:val="center"/>
        <w:rPr>
          <w:rFonts w:hint="eastAsia" w:ascii="黑体" w:hAnsi="黑体" w:eastAsia="黑体" w:cs="Arial"/>
          <w:sz w:val="81"/>
          <w:szCs w:val="22"/>
          <w:lang w:eastAsia="zh-CN"/>
        </w:rPr>
      </w:pPr>
    </w:p>
    <w:p>
      <w:pPr>
        <w:spacing w:line="826" w:lineRule="exact"/>
        <w:ind w:left="1228" w:right="1208"/>
        <w:jc w:val="center"/>
        <w:rPr>
          <w:rFonts w:hint="eastAsia" w:ascii="微软雅黑" w:hAnsi="微软雅黑" w:eastAsia="微软雅黑" w:cs="微软雅黑"/>
          <w:w w:val="85"/>
          <w:position w:val="2"/>
          <w:sz w:val="72"/>
          <w:szCs w:val="72"/>
        </w:rPr>
      </w:pPr>
    </w:p>
    <w:p>
      <w:pPr>
        <w:spacing w:line="826" w:lineRule="exact"/>
        <w:ind w:left="1228" w:right="1208"/>
        <w:jc w:val="center"/>
        <w:rPr>
          <w:rFonts w:hint="eastAsia" w:ascii="微软雅黑" w:hAnsi="微软雅黑" w:eastAsia="微软雅黑" w:cs="微软雅黑"/>
          <w:w w:val="85"/>
          <w:position w:val="2"/>
          <w:sz w:val="72"/>
          <w:szCs w:val="72"/>
        </w:rPr>
      </w:pPr>
    </w:p>
    <w:p>
      <w:pPr>
        <w:spacing w:line="826" w:lineRule="exact"/>
        <w:ind w:left="1228" w:right="1208"/>
        <w:jc w:val="center"/>
        <w:rPr>
          <w:rFonts w:hint="eastAsia" w:ascii="微软雅黑" w:hAnsi="微软雅黑" w:eastAsia="微软雅黑" w:cs="微软雅黑"/>
          <w:w w:val="85"/>
          <w:position w:val="2"/>
          <w:sz w:val="72"/>
          <w:szCs w:val="72"/>
        </w:rPr>
      </w:pPr>
    </w:p>
    <w:p>
      <w:pPr>
        <w:spacing w:line="826" w:lineRule="exact"/>
        <w:ind w:left="1228" w:right="1208"/>
        <w:jc w:val="center"/>
        <w:rPr>
          <w:rFonts w:hint="eastAsia" w:ascii="微软雅黑" w:hAnsi="微软雅黑" w:eastAsia="微软雅黑" w:cs="微软雅黑"/>
          <w:w w:val="85"/>
          <w:position w:val="2"/>
          <w:sz w:val="72"/>
          <w:szCs w:val="72"/>
        </w:rPr>
      </w:pPr>
    </w:p>
    <w:p>
      <w:pPr>
        <w:spacing w:line="826" w:lineRule="exact"/>
        <w:ind w:left="1228" w:right="1208"/>
        <w:jc w:val="center"/>
        <w:rPr>
          <w:rFonts w:hint="eastAsia" w:ascii="微软雅黑" w:hAnsi="微软雅黑" w:eastAsia="微软雅黑" w:cs="微软雅黑"/>
          <w:w w:val="85"/>
          <w:position w:val="2"/>
          <w:sz w:val="72"/>
          <w:szCs w:val="72"/>
        </w:rPr>
      </w:pPr>
    </w:p>
    <w:p>
      <w:pPr>
        <w:spacing w:line="826" w:lineRule="exact"/>
        <w:ind w:left="1228" w:right="1208"/>
        <w:jc w:val="center"/>
        <w:rPr>
          <w:rFonts w:ascii="楷体_GB2312" w:hAnsi="黑体" w:eastAsia="楷体_GB2312"/>
          <w:sz w:val="44"/>
          <w:szCs w:val="44"/>
        </w:rPr>
      </w:pPr>
    </w:p>
    <w:p>
      <w:pPr>
        <w:widowControl/>
        <w:spacing w:line="580" w:lineRule="exact"/>
        <w:jc w:val="both"/>
        <w:rPr>
          <w:rFonts w:ascii="黑体" w:hAnsi="黑体" w:eastAsia="黑体"/>
          <w:sz w:val="44"/>
          <w:szCs w:val="44"/>
        </w:rPr>
      </w:pPr>
    </w:p>
    <w:p>
      <w:pPr>
        <w:widowControl/>
        <w:spacing w:line="580" w:lineRule="exact"/>
        <w:jc w:val="both"/>
        <w:rPr>
          <w:rFonts w:ascii="黑体" w:hAnsi="黑体" w:eastAsia="黑体"/>
          <w:sz w:val="44"/>
          <w:szCs w:val="44"/>
          <w:lang w:eastAsia="zh-CN"/>
        </w:rPr>
      </w:pPr>
    </w:p>
    <w:p>
      <w:pPr>
        <w:widowControl/>
        <w:spacing w:line="580" w:lineRule="exact"/>
        <w:jc w:val="center"/>
        <w:rPr>
          <w:rFonts w:ascii="黑体" w:hAnsi="黑体" w:eastAsia="黑体"/>
          <w:sz w:val="44"/>
          <w:szCs w:val="44"/>
        </w:rPr>
      </w:pPr>
    </w:p>
    <w:p>
      <w:pPr>
        <w:widowControl/>
        <w:spacing w:line="580" w:lineRule="exact"/>
        <w:jc w:val="center"/>
        <w:rPr>
          <w:rFonts w:ascii="楷体_GB2312" w:hAnsi="黑体" w:eastAsia="楷体_GB2312"/>
          <w:sz w:val="36"/>
          <w:szCs w:val="32"/>
        </w:rPr>
      </w:pPr>
      <w:r>
        <w:rPr>
          <w:rFonts w:hint="eastAsia" w:ascii="楷体_GB2312" w:hAnsi="黑体" w:eastAsia="楷体_GB2312"/>
          <w:sz w:val="36"/>
          <w:szCs w:val="32"/>
        </w:rPr>
        <w:t>南宫市卫生监督所编制</w:t>
      </w:r>
    </w:p>
    <w:p>
      <w:pPr>
        <w:spacing w:line="200" w:lineRule="exact"/>
        <w:jc w:val="center"/>
        <w:rPr>
          <w:rFonts w:ascii="Times New Roman" w:hAnsi="Times New Roman" w:eastAsia="Times New Roman"/>
          <w:sz w:val="24"/>
        </w:rPr>
      </w:pPr>
    </w:p>
    <w:p>
      <w:pPr>
        <w:spacing w:line="502" w:lineRule="exact"/>
        <w:ind w:right="-73"/>
        <w:jc w:val="center"/>
        <w:rPr>
          <w:rFonts w:ascii="楷体" w:hAnsi="楷体" w:eastAsia="楷体"/>
          <w:b/>
          <w:sz w:val="44"/>
        </w:rPr>
      </w:pPr>
      <w:r>
        <w:rPr>
          <w:rFonts w:ascii="楷体" w:hAnsi="楷体" w:eastAsia="楷体"/>
          <w:b/>
          <w:sz w:val="44"/>
        </w:rPr>
        <w:t>二〇一九</w:t>
      </w:r>
      <w:r>
        <w:rPr>
          <w:rFonts w:hint="eastAsia" w:ascii="楷体" w:hAnsi="楷体" w:eastAsia="楷体"/>
          <w:b/>
          <w:sz w:val="44"/>
          <w:lang w:eastAsia="zh-CN"/>
        </w:rPr>
        <w:t>年十</w:t>
      </w:r>
      <w:r>
        <w:rPr>
          <w:rFonts w:ascii="楷体" w:hAnsi="楷体" w:eastAsia="楷体"/>
          <w:b/>
          <w:sz w:val="44"/>
        </w:rPr>
        <w:t>月</w:t>
      </w:r>
    </w:p>
    <w:p>
      <w:pPr>
        <w:keepNext w:val="0"/>
        <w:keepLines w:val="0"/>
        <w:pageBreakBefore w:val="0"/>
        <w:widowControl/>
        <w:kinsoku/>
        <w:wordWrap/>
        <w:overflowPunct/>
        <w:topLinePunct w:val="0"/>
        <w:autoSpaceDE/>
        <w:autoSpaceDN/>
        <w:bidi w:val="0"/>
        <w:adjustRightInd/>
        <w:snapToGrid/>
        <w:spacing w:line="20" w:lineRule="exact"/>
        <w:ind w:right="-74"/>
        <w:jc w:val="center"/>
        <w:textAlignment w:val="auto"/>
        <w:rPr>
          <w:rFonts w:ascii="楷体" w:hAnsi="楷体" w:eastAsia="楷体"/>
          <w:b/>
          <w:sz w:val="44"/>
        </w:rPr>
        <w:sectPr>
          <w:pgSz w:w="11900" w:h="16838"/>
          <w:pgMar w:top="1440" w:right="1304" w:bottom="1440" w:left="1304" w:header="0" w:footer="0" w:gutter="0"/>
          <w:pgBorders>
            <w:top w:val="none" w:sz="0" w:space="0"/>
            <w:left w:val="none" w:sz="0" w:space="0"/>
            <w:bottom w:val="none" w:sz="0" w:space="0"/>
            <w:right w:val="none" w:sz="0" w:space="0"/>
          </w:pgBorders>
          <w:cols w:space="720" w:num="1"/>
          <w:rtlGutter w:val="0"/>
          <w:docGrid w:linePitch="360" w:charSpace="0"/>
        </w:sectPr>
      </w:pPr>
    </w:p>
    <w:p>
      <w:pPr>
        <w:tabs>
          <w:tab w:val="left" w:pos="6280"/>
        </w:tabs>
        <w:spacing w:line="548" w:lineRule="exact"/>
        <w:jc w:val="center"/>
        <w:rPr>
          <w:rFonts w:ascii="黑体" w:hAnsi="黑体" w:eastAsia="黑体"/>
          <w:sz w:val="48"/>
        </w:rPr>
      </w:pPr>
      <w:r>
        <w:rPr>
          <w:rFonts w:ascii="黑体" w:hAnsi="黑体" w:eastAsia="黑体"/>
          <w:sz w:val="48"/>
        </w:rPr>
        <w:t>目</w:t>
      </w:r>
      <w:r>
        <w:rPr>
          <w:rFonts w:hint="eastAsia" w:ascii="黑体" w:hAnsi="黑体" w:eastAsia="黑体"/>
          <w:sz w:val="48"/>
          <w:lang w:val="en-US" w:eastAsia="zh-CN"/>
        </w:rPr>
        <w:t xml:space="preserve"> </w:t>
      </w:r>
      <w:r>
        <w:rPr>
          <w:rFonts w:ascii="黑体" w:hAnsi="黑体" w:eastAsia="黑体"/>
          <w:sz w:val="48"/>
        </w:rPr>
        <w:t>录</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3" w:lineRule="exact"/>
        <w:rPr>
          <w:rFonts w:ascii="Times New Roman" w:hAnsi="Times New Roman" w:eastAsia="Times New Roman"/>
        </w:rPr>
      </w:pPr>
    </w:p>
    <w:p>
      <w:pPr>
        <w:keepNext w:val="0"/>
        <w:keepLines w:val="0"/>
        <w:pageBreakBefore w:val="0"/>
        <w:widowControl/>
        <w:tabs>
          <w:tab w:val="left" w:pos="1400"/>
        </w:tabs>
        <w:kinsoku/>
        <w:wordWrap/>
        <w:overflowPunct/>
        <w:topLinePunct w:val="0"/>
        <w:autoSpaceDE/>
        <w:autoSpaceDN/>
        <w:bidi w:val="0"/>
        <w:adjustRightInd/>
        <w:snapToGrid/>
        <w:spacing w:line="366" w:lineRule="exact"/>
        <w:ind w:left="0" w:leftChars="0" w:firstLine="640" w:firstLineChars="200"/>
        <w:textAlignment w:val="auto"/>
        <w:rPr>
          <w:rFonts w:ascii="黑体" w:hAnsi="黑体" w:eastAsia="黑体"/>
          <w:sz w:val="32"/>
        </w:rPr>
      </w:pPr>
      <w:r>
        <w:rPr>
          <w:rFonts w:ascii="黑体" w:hAnsi="黑体" w:eastAsia="黑体"/>
          <w:sz w:val="32"/>
        </w:rPr>
        <w:t>第一部分</w:t>
      </w:r>
      <w:r>
        <w:rPr>
          <w:rFonts w:hint="eastAsia" w:ascii="黑体" w:hAnsi="黑体" w:eastAsia="黑体"/>
          <w:sz w:val="32"/>
          <w:lang w:val="en-US" w:eastAsia="zh-CN"/>
        </w:rPr>
        <w:t xml:space="preserve">  </w:t>
      </w:r>
      <w:r>
        <w:rPr>
          <w:rFonts w:ascii="Times New Roman" w:hAnsi="Times New Roman" w:eastAsia="Times New Roman"/>
        </w:rPr>
        <w:tab/>
      </w:r>
      <w:r>
        <w:rPr>
          <w:rFonts w:ascii="黑体" w:hAnsi="黑体" w:eastAsia="黑体"/>
          <w:sz w:val="32"/>
        </w:rPr>
        <w:t>部门概况</w:t>
      </w:r>
    </w:p>
    <w:p>
      <w:pPr>
        <w:keepNext w:val="0"/>
        <w:keepLines w:val="0"/>
        <w:pageBreakBefore w:val="0"/>
        <w:widowControl/>
        <w:kinsoku/>
        <w:wordWrap/>
        <w:overflowPunct/>
        <w:topLinePunct w:val="0"/>
        <w:autoSpaceDE/>
        <w:autoSpaceDN/>
        <w:bidi w:val="0"/>
        <w:adjustRightInd/>
        <w:snapToGrid/>
        <w:spacing w:line="373"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一、部门职责</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二、机构设置</w:t>
      </w:r>
    </w:p>
    <w:p>
      <w:pPr>
        <w:keepNext w:val="0"/>
        <w:keepLines w:val="0"/>
        <w:pageBreakBefore w:val="0"/>
        <w:widowControl/>
        <w:kinsoku/>
        <w:wordWrap/>
        <w:overflowPunct/>
        <w:topLinePunct w:val="0"/>
        <w:autoSpaceDE/>
        <w:autoSpaceDN/>
        <w:bidi w:val="0"/>
        <w:adjustRightInd/>
        <w:snapToGrid/>
        <w:spacing w:line="364" w:lineRule="exact"/>
        <w:ind w:left="0" w:leftChars="0" w:firstLine="400" w:firstLineChars="200"/>
        <w:textAlignment w:val="auto"/>
        <w:rPr>
          <w:rFonts w:ascii="Times New Roman" w:hAnsi="Times New Roman" w:eastAsia="Times New Roman"/>
        </w:rPr>
      </w:pPr>
    </w:p>
    <w:p>
      <w:pPr>
        <w:keepNext w:val="0"/>
        <w:keepLines w:val="0"/>
        <w:pageBreakBefore w:val="0"/>
        <w:widowControl/>
        <w:tabs>
          <w:tab w:val="left" w:pos="1400"/>
        </w:tabs>
        <w:kinsoku/>
        <w:wordWrap/>
        <w:overflowPunct/>
        <w:topLinePunct w:val="0"/>
        <w:autoSpaceDE/>
        <w:autoSpaceDN/>
        <w:bidi w:val="0"/>
        <w:adjustRightInd/>
        <w:snapToGrid/>
        <w:spacing w:line="390" w:lineRule="exact"/>
        <w:ind w:left="0" w:leftChars="0" w:firstLine="640" w:firstLineChars="200"/>
        <w:textAlignment w:val="auto"/>
        <w:rPr>
          <w:rFonts w:ascii="黑体" w:hAnsi="黑体" w:eastAsia="黑体"/>
          <w:sz w:val="32"/>
        </w:rPr>
      </w:pPr>
      <w:r>
        <w:rPr>
          <w:rFonts w:ascii="黑体" w:hAnsi="黑体" w:eastAsia="黑体"/>
          <w:sz w:val="32"/>
        </w:rPr>
        <w:t>第二部分</w:t>
      </w:r>
      <w:r>
        <w:rPr>
          <w:rFonts w:ascii="Times New Roman" w:hAnsi="Times New Roman" w:eastAsia="Times New Roman"/>
        </w:rPr>
        <w:tab/>
      </w:r>
      <w:r>
        <w:rPr>
          <w:rFonts w:hint="eastAsia" w:ascii="Times New Roman" w:hAnsi="Times New Roman" w:eastAsia="宋体"/>
          <w:lang w:val="en-US" w:eastAsia="zh-CN"/>
        </w:rPr>
        <w:t xml:space="preserve">  </w:t>
      </w:r>
      <w:r>
        <w:rPr>
          <w:rFonts w:ascii="Times New Roman" w:hAnsi="Times New Roman" w:eastAsia="Times New Roman"/>
          <w:sz w:val="32"/>
        </w:rPr>
        <w:t xml:space="preserve">2018 </w:t>
      </w:r>
      <w:r>
        <w:rPr>
          <w:rFonts w:ascii="黑体" w:hAnsi="黑体" w:eastAsia="黑体"/>
          <w:sz w:val="32"/>
        </w:rPr>
        <w:t>年度部门决算报表</w:t>
      </w:r>
    </w:p>
    <w:p>
      <w:pPr>
        <w:keepNext w:val="0"/>
        <w:keepLines w:val="0"/>
        <w:pageBreakBefore w:val="0"/>
        <w:widowControl/>
        <w:kinsoku/>
        <w:wordWrap/>
        <w:overflowPunct/>
        <w:topLinePunct w:val="0"/>
        <w:autoSpaceDE/>
        <w:autoSpaceDN/>
        <w:bidi w:val="0"/>
        <w:adjustRightInd/>
        <w:snapToGrid/>
        <w:spacing w:line="363"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一、收入支出决算总表</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二、收入决算表</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三、支出决算表</w:t>
      </w:r>
    </w:p>
    <w:p>
      <w:pPr>
        <w:keepNext w:val="0"/>
        <w:keepLines w:val="0"/>
        <w:pageBreakBefore w:val="0"/>
        <w:widowControl/>
        <w:kinsoku/>
        <w:wordWrap/>
        <w:overflowPunct/>
        <w:topLinePunct w:val="0"/>
        <w:autoSpaceDE/>
        <w:autoSpaceDN/>
        <w:bidi w:val="0"/>
        <w:adjustRightInd/>
        <w:snapToGrid/>
        <w:spacing w:line="377"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四、财政拨款收入支出决算总表</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366"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90" w:lineRule="exact"/>
        <w:ind w:left="0" w:leftChars="0" w:firstLine="640" w:firstLineChars="200"/>
        <w:textAlignment w:val="auto"/>
        <w:rPr>
          <w:rFonts w:ascii="宋体" w:hAnsi="宋体" w:eastAsia="宋体"/>
          <w:sz w:val="32"/>
        </w:rPr>
      </w:pPr>
      <w:r>
        <w:rPr>
          <w:rFonts w:ascii="宋体" w:hAnsi="宋体" w:eastAsia="宋体"/>
          <w:sz w:val="32"/>
        </w:rPr>
        <w:t>七、一般公共预算财政拨款</w:t>
      </w:r>
      <w:r>
        <w:rPr>
          <w:rFonts w:ascii="Times New Roman" w:hAnsi="Times New Roman" w:eastAsia="Times New Roman"/>
          <w:sz w:val="32"/>
        </w:rPr>
        <w:t>“</w:t>
      </w:r>
      <w:r>
        <w:rPr>
          <w:rFonts w:ascii="宋体" w:hAnsi="宋体" w:eastAsia="宋体"/>
          <w:sz w:val="32"/>
        </w:rPr>
        <w:t>三公</w:t>
      </w:r>
      <w:r>
        <w:rPr>
          <w:rFonts w:ascii="Times New Roman" w:hAnsi="Times New Roman" w:eastAsia="Times New Roman"/>
          <w:sz w:val="32"/>
        </w:rPr>
        <w:t>”</w:t>
      </w:r>
      <w:r>
        <w:rPr>
          <w:rFonts w:ascii="宋体" w:hAnsi="宋体" w:eastAsia="宋体"/>
          <w:sz w:val="32"/>
        </w:rPr>
        <w:t>经费支出决算表</w:t>
      </w:r>
    </w:p>
    <w:p>
      <w:pPr>
        <w:keepNext w:val="0"/>
        <w:keepLines w:val="0"/>
        <w:pageBreakBefore w:val="0"/>
        <w:widowControl/>
        <w:kinsoku/>
        <w:wordWrap/>
        <w:overflowPunct/>
        <w:topLinePunct w:val="0"/>
        <w:autoSpaceDE/>
        <w:autoSpaceDN/>
        <w:bidi w:val="0"/>
        <w:adjustRightInd/>
        <w:snapToGrid/>
        <w:spacing w:line="360"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九、国有资本经营预算财政拨款支出决算表</w:t>
      </w:r>
    </w:p>
    <w:p>
      <w:pPr>
        <w:keepNext w:val="0"/>
        <w:keepLines w:val="0"/>
        <w:pageBreakBefore w:val="0"/>
        <w:widowControl/>
        <w:kinsoku/>
        <w:wordWrap/>
        <w:overflowPunct/>
        <w:topLinePunct w:val="0"/>
        <w:autoSpaceDE/>
        <w:autoSpaceDN/>
        <w:bidi w:val="0"/>
        <w:adjustRightInd/>
        <w:snapToGrid/>
        <w:spacing w:line="377"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十、政府采购情况表</w:t>
      </w:r>
    </w:p>
    <w:p>
      <w:pPr>
        <w:keepNext w:val="0"/>
        <w:keepLines w:val="0"/>
        <w:pageBreakBefore w:val="0"/>
        <w:widowControl/>
        <w:kinsoku/>
        <w:wordWrap/>
        <w:overflowPunct/>
        <w:topLinePunct w:val="0"/>
        <w:autoSpaceDE/>
        <w:autoSpaceDN/>
        <w:bidi w:val="0"/>
        <w:adjustRightInd/>
        <w:snapToGrid/>
        <w:spacing w:line="263" w:lineRule="exact"/>
        <w:ind w:left="0" w:leftChars="0" w:firstLine="460" w:firstLineChars="200"/>
        <w:textAlignment w:val="auto"/>
        <w:rPr>
          <w:rFonts w:ascii="黑体" w:hAnsi="黑体" w:eastAsia="黑体"/>
          <w:sz w:val="23"/>
        </w:rPr>
      </w:pPr>
    </w:p>
    <w:p>
      <w:pPr>
        <w:keepNext w:val="0"/>
        <w:keepLines w:val="0"/>
        <w:pageBreakBefore w:val="0"/>
        <w:widowControl/>
        <w:kinsoku/>
        <w:wordWrap/>
        <w:overflowPunct/>
        <w:topLinePunct w:val="0"/>
        <w:autoSpaceDE/>
        <w:autoSpaceDN/>
        <w:bidi w:val="0"/>
        <w:adjustRightInd/>
        <w:snapToGrid/>
        <w:spacing w:line="390" w:lineRule="exact"/>
        <w:ind w:left="0" w:leftChars="0" w:firstLine="640" w:firstLineChars="200"/>
        <w:textAlignment w:val="auto"/>
        <w:rPr>
          <w:rFonts w:ascii="黑体" w:hAnsi="黑体" w:eastAsia="黑体"/>
          <w:sz w:val="32"/>
        </w:rPr>
      </w:pPr>
      <w:r>
        <w:rPr>
          <w:rFonts w:ascii="黑体" w:hAnsi="黑体" w:eastAsia="黑体"/>
          <w:sz w:val="32"/>
        </w:rPr>
        <w:t>第三部分</w:t>
      </w:r>
      <w:r>
        <w:rPr>
          <w:rFonts w:ascii="Times New Roman" w:hAnsi="Times New Roman" w:eastAsia="Times New Roman"/>
        </w:rPr>
        <w:tab/>
      </w:r>
      <w:r>
        <w:rPr>
          <w:rFonts w:hint="eastAsia" w:ascii="Times New Roman" w:hAnsi="Times New Roman" w:eastAsia="宋体"/>
          <w:lang w:val="en-US" w:eastAsia="zh-CN"/>
        </w:rPr>
        <w:t xml:space="preserve">  </w:t>
      </w:r>
      <w:r>
        <w:rPr>
          <w:rFonts w:ascii="Times New Roman" w:hAnsi="Times New Roman" w:eastAsia="Times New Roman"/>
          <w:sz w:val="32"/>
        </w:rPr>
        <w:t xml:space="preserve">2018 </w:t>
      </w:r>
      <w:r>
        <w:rPr>
          <w:rFonts w:ascii="黑体" w:hAnsi="黑体" w:eastAsia="黑体"/>
          <w:sz w:val="32"/>
        </w:rPr>
        <w:t>年部门决算情况说明</w:t>
      </w:r>
    </w:p>
    <w:p>
      <w:pPr>
        <w:keepNext w:val="0"/>
        <w:keepLines w:val="0"/>
        <w:pageBreakBefore w:val="0"/>
        <w:widowControl/>
        <w:kinsoku/>
        <w:wordWrap/>
        <w:overflowPunct/>
        <w:topLinePunct w:val="0"/>
        <w:autoSpaceDE/>
        <w:autoSpaceDN/>
        <w:bidi w:val="0"/>
        <w:adjustRightInd/>
        <w:snapToGrid/>
        <w:spacing w:line="360"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一、收入支出决算总体情况说明</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二、收入决算情况说明</w:t>
      </w:r>
    </w:p>
    <w:p>
      <w:pPr>
        <w:keepNext w:val="0"/>
        <w:keepLines w:val="0"/>
        <w:pageBreakBefore w:val="0"/>
        <w:widowControl/>
        <w:kinsoku/>
        <w:wordWrap/>
        <w:overflowPunct/>
        <w:topLinePunct w:val="0"/>
        <w:autoSpaceDE/>
        <w:autoSpaceDN/>
        <w:bidi w:val="0"/>
        <w:adjustRightInd/>
        <w:snapToGrid/>
        <w:spacing w:line="377"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三、支出决算情况说明</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四、财政拨款收入支出决算情况说明</w:t>
      </w:r>
    </w:p>
    <w:p>
      <w:pPr>
        <w:keepNext w:val="0"/>
        <w:keepLines w:val="0"/>
        <w:pageBreakBefore w:val="0"/>
        <w:widowControl/>
        <w:kinsoku/>
        <w:wordWrap/>
        <w:overflowPunct/>
        <w:topLinePunct w:val="0"/>
        <w:autoSpaceDE/>
        <w:autoSpaceDN/>
        <w:bidi w:val="0"/>
        <w:adjustRightInd/>
        <w:snapToGrid/>
        <w:spacing w:line="36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78" w:lineRule="exact"/>
        <w:ind w:left="0" w:leftChars="0" w:firstLine="620" w:firstLineChars="200"/>
        <w:textAlignment w:val="auto"/>
        <w:rPr>
          <w:rFonts w:ascii="宋体" w:hAnsi="宋体" w:eastAsia="宋体"/>
          <w:sz w:val="31"/>
        </w:rPr>
      </w:pPr>
      <w:r>
        <w:rPr>
          <w:rFonts w:ascii="宋体" w:hAnsi="宋体" w:eastAsia="宋体"/>
          <w:sz w:val="31"/>
        </w:rPr>
        <w:t>五、一般公共预算财政拨款</w:t>
      </w:r>
      <w:r>
        <w:rPr>
          <w:rFonts w:ascii="Times New Roman" w:hAnsi="Times New Roman" w:eastAsia="Times New Roman"/>
          <w:sz w:val="31"/>
        </w:rPr>
        <w:t>“</w:t>
      </w:r>
      <w:r>
        <w:rPr>
          <w:rFonts w:ascii="宋体" w:hAnsi="宋体" w:eastAsia="宋体"/>
          <w:sz w:val="31"/>
        </w:rPr>
        <w:t>三公</w:t>
      </w:r>
      <w:r>
        <w:rPr>
          <w:rFonts w:ascii="Times New Roman" w:hAnsi="Times New Roman" w:eastAsia="Times New Roman"/>
          <w:sz w:val="31"/>
        </w:rPr>
        <w:t>”</w:t>
      </w:r>
      <w:r>
        <w:rPr>
          <w:rFonts w:ascii="宋体" w:hAnsi="宋体" w:eastAsia="宋体"/>
          <w:sz w:val="31"/>
        </w:rPr>
        <w:t>经费支出决算情况说</w:t>
      </w:r>
    </w:p>
    <w:p>
      <w:pPr>
        <w:keepNext w:val="0"/>
        <w:keepLines w:val="0"/>
        <w:pageBreakBefore w:val="0"/>
        <w:widowControl/>
        <w:kinsoku/>
        <w:wordWrap/>
        <w:overflowPunct/>
        <w:topLinePunct w:val="0"/>
        <w:autoSpaceDE/>
        <w:autoSpaceDN/>
        <w:bidi w:val="0"/>
        <w:adjustRightInd/>
        <w:snapToGrid/>
        <w:spacing w:line="21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明</w:t>
      </w:r>
    </w:p>
    <w:p>
      <w:pPr>
        <w:keepNext w:val="0"/>
        <w:keepLines w:val="0"/>
        <w:pageBreakBefore w:val="0"/>
        <w:widowControl/>
        <w:kinsoku/>
        <w:wordWrap/>
        <w:overflowPunct/>
        <w:topLinePunct w:val="0"/>
        <w:autoSpaceDE/>
        <w:autoSpaceDN/>
        <w:bidi w:val="0"/>
        <w:adjustRightInd/>
        <w:snapToGrid/>
        <w:spacing w:line="374"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六、预算绩效情况说明</w:t>
      </w:r>
    </w:p>
    <w:p>
      <w:pPr>
        <w:keepNext w:val="0"/>
        <w:keepLines w:val="0"/>
        <w:pageBreakBefore w:val="0"/>
        <w:widowControl/>
        <w:kinsoku/>
        <w:wordWrap/>
        <w:overflowPunct/>
        <w:topLinePunct w:val="0"/>
        <w:autoSpaceDE/>
        <w:autoSpaceDN/>
        <w:bidi w:val="0"/>
        <w:adjustRightInd/>
        <w:snapToGrid/>
        <w:spacing w:line="377" w:lineRule="exact"/>
        <w:ind w:left="0" w:leftChars="0" w:firstLine="400" w:firstLineChars="200"/>
        <w:textAlignment w:val="auto"/>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366" w:lineRule="exact"/>
        <w:ind w:left="0" w:leftChars="0" w:firstLine="640" w:firstLineChars="200"/>
        <w:textAlignment w:val="auto"/>
        <w:rPr>
          <w:rFonts w:ascii="宋体" w:hAnsi="宋体" w:eastAsia="宋体"/>
          <w:sz w:val="32"/>
        </w:rPr>
      </w:pPr>
      <w:r>
        <w:rPr>
          <w:rFonts w:ascii="宋体" w:hAnsi="宋体" w:eastAsia="宋体"/>
          <w:sz w:val="32"/>
        </w:rPr>
        <w:t>七、其他重要事项的说明</w:t>
      </w:r>
    </w:p>
    <w:p>
      <w:pPr>
        <w:keepNext w:val="0"/>
        <w:keepLines w:val="0"/>
        <w:pageBreakBefore w:val="0"/>
        <w:widowControl/>
        <w:kinsoku/>
        <w:wordWrap/>
        <w:overflowPunct/>
        <w:topLinePunct w:val="0"/>
        <w:autoSpaceDE/>
        <w:autoSpaceDN/>
        <w:bidi w:val="0"/>
        <w:adjustRightInd/>
        <w:snapToGrid/>
        <w:spacing w:line="378" w:lineRule="exact"/>
        <w:ind w:left="0" w:leftChars="0" w:firstLine="400" w:firstLineChars="200"/>
        <w:textAlignment w:val="auto"/>
        <w:rPr>
          <w:rFonts w:ascii="Times New Roman" w:hAnsi="Times New Roman" w:eastAsia="Times New Roman"/>
        </w:rPr>
      </w:pPr>
    </w:p>
    <w:p>
      <w:pPr>
        <w:keepNext w:val="0"/>
        <w:keepLines w:val="0"/>
        <w:pageBreakBefore w:val="0"/>
        <w:widowControl/>
        <w:tabs>
          <w:tab w:val="left" w:pos="2000"/>
        </w:tabs>
        <w:kinsoku/>
        <w:wordWrap/>
        <w:overflowPunct/>
        <w:topLinePunct w:val="0"/>
        <w:autoSpaceDE/>
        <w:autoSpaceDN/>
        <w:bidi w:val="0"/>
        <w:adjustRightInd/>
        <w:snapToGrid/>
        <w:spacing w:line="366" w:lineRule="exact"/>
        <w:ind w:left="0" w:leftChars="0" w:firstLine="640" w:firstLineChars="200"/>
        <w:textAlignment w:val="auto"/>
        <w:rPr>
          <w:rFonts w:ascii="黑体" w:hAnsi="黑体" w:eastAsia="黑体"/>
          <w:sz w:val="32"/>
        </w:rPr>
      </w:pPr>
      <w:r>
        <w:rPr>
          <w:rFonts w:ascii="黑体" w:hAnsi="黑体" w:eastAsia="黑体"/>
          <w:sz w:val="32"/>
        </w:rPr>
        <w:t>第四部分</w:t>
      </w:r>
      <w:r>
        <w:rPr>
          <w:rFonts w:ascii="黑体" w:hAnsi="黑体" w:eastAsia="黑体"/>
          <w:sz w:val="32"/>
        </w:rPr>
        <w:tab/>
      </w:r>
      <w:r>
        <w:rPr>
          <w:rFonts w:hint="eastAsia" w:ascii="黑体" w:hAnsi="黑体" w:eastAsia="黑体"/>
          <w:sz w:val="32"/>
          <w:lang w:val="en-US" w:eastAsia="zh-CN"/>
        </w:rPr>
        <w:t xml:space="preserve">  </w:t>
      </w:r>
      <w:r>
        <w:rPr>
          <w:rFonts w:ascii="黑体" w:hAnsi="黑体" w:eastAsia="黑体"/>
          <w:sz w:val="32"/>
        </w:rPr>
        <w:t>名词解释</w:t>
      </w:r>
    </w:p>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eastAsia="Calibri"/>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0" w:name="page4"/>
      <w:bookmarkEnd w:id="0"/>
    </w:p>
    <w:p>
      <w:pPr>
        <w:keepNext w:val="0"/>
        <w:keepLines w:val="0"/>
        <w:pageBreakBefore w:val="0"/>
        <w:widowControl/>
        <w:kinsoku/>
        <w:wordWrap/>
        <w:overflowPunct/>
        <w:topLinePunct w:val="0"/>
        <w:autoSpaceDE/>
        <w:autoSpaceDN/>
        <w:bidi w:val="0"/>
        <w:adjustRightInd/>
        <w:spacing w:line="360" w:lineRule="auto"/>
        <w:ind w:left="0" w:leftChars="0" w:firstLine="0" w:firstLineChars="0"/>
        <w:jc w:val="center"/>
        <w:textAlignment w:val="auto"/>
        <w:rPr>
          <w:rFonts w:hint="eastAsia" w:eastAsia="仿宋_GB2312"/>
          <w:b/>
          <w:bCs/>
          <w:sz w:val="36"/>
          <w:szCs w:val="36"/>
        </w:rPr>
      </w:pPr>
      <w:r>
        <w:rPr>
          <w:rFonts w:hint="eastAsia" w:eastAsia="仿宋_GB2312"/>
          <w:b/>
          <w:bCs/>
          <w:sz w:val="36"/>
          <w:szCs w:val="36"/>
        </w:rPr>
        <w:t xml:space="preserve">第一部分  </w:t>
      </w:r>
      <w:r>
        <w:rPr>
          <w:rFonts w:hint="eastAsia" w:ascii="黑体" w:hAnsi="黑体" w:eastAsia="黑体"/>
          <w:b/>
          <w:bCs/>
          <w:sz w:val="36"/>
          <w:szCs w:val="36"/>
        </w:rPr>
        <w:t>部门概况</w:t>
      </w:r>
    </w:p>
    <w:p>
      <w:pPr>
        <w:keepNext w:val="0"/>
        <w:keepLines w:val="0"/>
        <w:pageBreakBefore w:val="0"/>
        <w:widowControl/>
        <w:kinsoku/>
        <w:wordWrap/>
        <w:overflowPunct/>
        <w:topLinePunct w:val="0"/>
        <w:autoSpaceDE/>
        <w:autoSpaceDN/>
        <w:bidi w:val="0"/>
        <w:adjustRightInd/>
        <w:snapToGrid/>
        <w:spacing w:line="553" w:lineRule="exact"/>
        <w:ind w:left="0" w:leftChars="0" w:firstLine="562" w:firstLineChars="200"/>
        <w:textAlignment w:val="auto"/>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snapToGrid/>
        <w:spacing w:line="553"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eastAsia="zh-CN"/>
        </w:rPr>
        <w:t>部门</w:t>
      </w:r>
      <w:r>
        <w:rPr>
          <w:rFonts w:hint="eastAsia" w:ascii="宋体" w:hAnsi="宋体" w:eastAsia="宋体" w:cs="宋体"/>
          <w:b/>
          <w:bCs/>
          <w:sz w:val="28"/>
          <w:szCs w:val="28"/>
        </w:rPr>
        <w:t>职责</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卫生监督机构的主要职责：（一）卫生行政许可：承办公共场所卫生条件的卫生行政许可；承办供水单位卫生条件的卫生行政许可；承办放射诊疗单位的放射诊疗卫生行政许可；卫生行政部门交办的其他行政许可事项。以及承办餐炊具集中消毒单位、食品生产经营摊点的卫生行政备案。</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公共卫生监督：对消毒产品、生活饮用水、涉及饮用水卫生安全产品及其他健康相关产品的卫生及其生产经营活动进行卫生监督检查，查处违法行为；对公共场所的卫生条件及其从业人员的健康管理进行卫生监督检查，查处违法行为；对用人单位开展职业健康监护情况进行卫生监督检查，查处违法行为；对建设项目执行职业病危害评价制度情况进行卫生监督检查，查处违法行为。</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医疗卫生监督：对医疗机构的执业资格、执业范围及其医务人员的执业资格、执业注册进行监督检查，规范医疗服务行为，打击非法行医；对医疗机构的传染病疫情报告、疫情控制措施、消毒隔离制度执行情况和医疗废物处置情况进行监督检查，查处违法行为；对采供血机构的执业资格、执业范围及其从业人员的资格进行监督检查，打击非法采供血行为；对采供血机构的采供血活动、传染病疫情报告和医疗废物处置情况进行监督检查，查处违法行为；对疾病预防控制机构的传染病疫情报告、预防控制措施和菌（毒）种管理情况进行监督检查，查处违法行为。</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其他：负责派出机构的管理；负责辖区内基层卫生监督协管服务的监督检查和指导；负责辖区内卫生监督信息的收集、核实和上报；负责受理对违法行为的投诉、举报；开展卫生法律、法规宣传教育；承担上级机关指定或交办的卫生监督事项。</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卫生监督机构属于公共服务的职责：</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卫生监督所担负的属于公共服务的职责主要有以下四个方面：</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（一）生活饮用水快速检测：现场开展生活饮用水快速检测，以应对突发公共卫生事件及自然灾害处置，满足人民群众日常生活需要。</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卫生监督协管服务：卫生监督协管服务是政府免费提供的公共卫生产品，目的是在基层医疗卫生机构开展卫生监督协管服务，充分利用三级公共卫生网络和基层医疗卫生机构的前哨作用，解决基层卫生监督相对薄弱的问题，从而进一步建成横向到边、纵向到底、覆盖城乡的卫生监督网络体系，及时发现违反卫生法律法规的行为，保障广大群众公共卫生安全。</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卫生法律法规宣传教育：开展卫生法律法规宣传教育，一方面是体现法律以教育为主的法律精神，落实依法治国方略，另一方面是提高广大群众学法守法的自觉性，依法维护自身公共卫生合法权益，维护社会经济和谐发展。</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卫生监督信息发布：卫生监督信息的收集、核实、整理，与人民群众工作、学习、生活环境密切相关，按要求做好卫生监督信息的适时发布，能起到动员和教育广大人民群众，维护群众的知情权、参与权、发挥保护人民群众健康和生命安全的积极作用。</w:t>
      </w:r>
    </w:p>
    <w:p>
      <w:pPr>
        <w:keepNext w:val="0"/>
        <w:keepLines w:val="0"/>
        <w:pageBreakBefore w:val="0"/>
        <w:widowControl/>
        <w:kinsoku/>
        <w:wordWrap/>
        <w:overflowPunct/>
        <w:topLinePunct w:val="0"/>
        <w:autoSpaceDE/>
        <w:autoSpaceDN/>
        <w:bidi w:val="0"/>
        <w:adjustRightInd/>
        <w:snapToGrid/>
        <w:spacing w:line="553" w:lineRule="exact"/>
        <w:ind w:left="0" w:leftChars="0" w:firstLine="562" w:firstLineChars="200"/>
        <w:textAlignment w:val="auto"/>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snapToGrid/>
        <w:spacing w:line="553" w:lineRule="exact"/>
        <w:ind w:left="0"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w:t>
      </w:r>
      <w:r>
        <w:rPr>
          <w:rFonts w:hint="eastAsia" w:ascii="宋体" w:hAnsi="宋体" w:eastAsia="宋体" w:cs="宋体"/>
          <w:b/>
          <w:bCs/>
          <w:sz w:val="28"/>
          <w:szCs w:val="28"/>
          <w:lang w:eastAsia="zh-CN"/>
        </w:rPr>
        <w:t>机构设置</w:t>
      </w:r>
      <w:r>
        <w:rPr>
          <w:rFonts w:hint="eastAsia" w:ascii="宋体" w:hAnsi="宋体" w:eastAsia="宋体" w:cs="宋体"/>
          <w:b/>
          <w:bCs/>
          <w:sz w:val="28"/>
          <w:szCs w:val="28"/>
        </w:rPr>
        <w:t>：</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从决算编报单位构成看，纳入 2018 年度本部门决算汇编范围的独立核算单位（以下简称“单位”）共 1个，具体情况如下：</w:t>
      </w: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p>
      <w:pPr>
        <w:spacing w:line="55" w:lineRule="exact"/>
        <w:rPr>
          <w:rFonts w:ascii="Times New Roman" w:hAnsi="Times New Roman" w:eastAsia="Times New Roman"/>
          <w:sz w:val="28"/>
          <w:szCs w:val="28"/>
        </w:rPr>
      </w:pPr>
    </w:p>
    <w:tbl>
      <w:tblPr>
        <w:tblStyle w:val="7"/>
        <w:tblW w:w="8085"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01"/>
        <w:gridCol w:w="2650"/>
        <w:gridCol w:w="2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8" w:hRule="atLeast"/>
        </w:trPr>
        <w:tc>
          <w:tcPr>
            <w:tcW w:w="2601" w:type="dxa"/>
            <w:tcBorders>
              <w:top w:val="single" w:color="auto" w:sz="8" w:space="0"/>
              <w:left w:val="single" w:color="auto" w:sz="8" w:space="0"/>
              <w:right w:val="single" w:color="auto" w:sz="8" w:space="0"/>
            </w:tcBorders>
            <w:shd w:val="clear" w:color="auto" w:fill="auto"/>
            <w:noWrap w:val="0"/>
            <w:vAlign w:val="bottom"/>
          </w:tcPr>
          <w:p>
            <w:pPr>
              <w:spacing w:line="320" w:lineRule="exact"/>
              <w:ind w:left="0" w:leftChars="0" w:firstLine="0" w:firstLineChars="0"/>
              <w:jc w:val="center"/>
              <w:rPr>
                <w:rFonts w:ascii="黑体" w:hAnsi="黑体" w:eastAsia="黑体"/>
                <w:sz w:val="24"/>
                <w:szCs w:val="24"/>
              </w:rPr>
            </w:pPr>
            <w:r>
              <w:rPr>
                <w:rFonts w:ascii="黑体" w:hAnsi="黑体" w:eastAsia="黑体"/>
                <w:sz w:val="24"/>
                <w:szCs w:val="24"/>
              </w:rPr>
              <w:t>单位名称</w:t>
            </w:r>
          </w:p>
        </w:tc>
        <w:tc>
          <w:tcPr>
            <w:tcW w:w="2650" w:type="dxa"/>
            <w:tcBorders>
              <w:top w:val="single" w:color="auto" w:sz="8" w:space="0"/>
              <w:right w:val="single" w:color="auto" w:sz="8" w:space="0"/>
            </w:tcBorders>
            <w:shd w:val="clear" w:color="auto" w:fill="auto"/>
            <w:noWrap w:val="0"/>
            <w:vAlign w:val="bottom"/>
          </w:tcPr>
          <w:p>
            <w:pPr>
              <w:spacing w:line="320" w:lineRule="exact"/>
              <w:ind w:left="400"/>
              <w:jc w:val="both"/>
              <w:rPr>
                <w:rFonts w:ascii="黑体" w:hAnsi="黑体" w:eastAsia="黑体"/>
                <w:sz w:val="24"/>
                <w:szCs w:val="24"/>
              </w:rPr>
            </w:pPr>
            <w:r>
              <w:rPr>
                <w:rFonts w:ascii="黑体" w:hAnsi="黑体" w:eastAsia="黑体"/>
                <w:sz w:val="24"/>
                <w:szCs w:val="24"/>
              </w:rPr>
              <w:t>单位性质</w:t>
            </w:r>
          </w:p>
        </w:tc>
        <w:tc>
          <w:tcPr>
            <w:tcW w:w="2834" w:type="dxa"/>
            <w:tcBorders>
              <w:top w:val="single" w:color="auto" w:sz="8" w:space="0"/>
              <w:right w:val="single" w:color="auto" w:sz="8" w:space="0"/>
            </w:tcBorders>
            <w:shd w:val="clear" w:color="auto" w:fill="auto"/>
            <w:noWrap w:val="0"/>
            <w:vAlign w:val="bottom"/>
          </w:tcPr>
          <w:p>
            <w:pPr>
              <w:spacing w:line="320" w:lineRule="exact"/>
              <w:ind w:left="540"/>
              <w:jc w:val="both"/>
              <w:rPr>
                <w:rFonts w:ascii="黑体" w:hAnsi="黑体" w:eastAsia="黑体"/>
                <w:sz w:val="24"/>
                <w:szCs w:val="24"/>
              </w:rPr>
            </w:pPr>
            <w:r>
              <w:rPr>
                <w:rFonts w:ascii="黑体" w:hAnsi="黑体" w:eastAsia="黑体"/>
                <w:sz w:val="24"/>
                <w:szCs w:val="24"/>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6" w:hRule="atLeast"/>
        </w:trPr>
        <w:tc>
          <w:tcPr>
            <w:tcW w:w="2601"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szCs w:val="24"/>
              </w:rPr>
            </w:pPr>
          </w:p>
        </w:tc>
        <w:tc>
          <w:tcPr>
            <w:tcW w:w="2650"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szCs w:val="24"/>
              </w:rPr>
            </w:pPr>
          </w:p>
        </w:tc>
        <w:tc>
          <w:tcPr>
            <w:tcW w:w="2834" w:type="dxa"/>
            <w:tcBorders>
              <w:bottom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 w:hRule="atLeast"/>
        </w:trPr>
        <w:tc>
          <w:tcPr>
            <w:tcW w:w="2601" w:type="dxa"/>
            <w:tcBorders>
              <w:left w:val="single" w:color="auto" w:sz="8" w:space="0"/>
              <w:right w:val="single" w:color="auto" w:sz="8" w:space="0"/>
            </w:tcBorders>
            <w:shd w:val="clear" w:color="auto" w:fill="auto"/>
            <w:noWrap w:val="0"/>
            <w:vAlign w:val="bottom"/>
          </w:tcPr>
          <w:p>
            <w:pPr>
              <w:spacing w:line="0" w:lineRule="atLeast"/>
              <w:rPr>
                <w:rFonts w:ascii="Times New Roman" w:hAnsi="Times New Roman" w:eastAsia="Times New Roman"/>
                <w:sz w:val="10"/>
              </w:rPr>
            </w:pPr>
          </w:p>
        </w:tc>
        <w:tc>
          <w:tcPr>
            <w:tcW w:w="2650"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0"/>
              </w:rPr>
            </w:pPr>
          </w:p>
        </w:tc>
        <w:tc>
          <w:tcPr>
            <w:tcW w:w="2834" w:type="dxa"/>
            <w:tcBorders>
              <w:right w:val="single" w:color="auto" w:sz="8" w:space="0"/>
            </w:tcBorders>
            <w:shd w:val="clear" w:color="auto" w:fill="auto"/>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2" w:hRule="atLeast"/>
        </w:trPr>
        <w:tc>
          <w:tcPr>
            <w:tcW w:w="2601" w:type="dxa"/>
            <w:tcBorders>
              <w:left w:val="single" w:color="auto" w:sz="8" w:space="0"/>
              <w:bottom w:val="single" w:color="auto" w:sz="8" w:space="0"/>
              <w:right w:val="single" w:color="auto" w:sz="8" w:space="0"/>
            </w:tcBorders>
            <w:shd w:val="clear" w:color="auto" w:fill="auto"/>
            <w:noWrap w:val="0"/>
            <w:vAlign w:val="bottom"/>
          </w:tcPr>
          <w:p>
            <w:pPr>
              <w:spacing w:line="0" w:lineRule="atLeast"/>
              <w:rPr>
                <w:rFonts w:hint="eastAsia" w:ascii="Times New Roman" w:hAnsi="Times New Roman" w:eastAsia="宋体"/>
                <w:sz w:val="10"/>
                <w:lang w:eastAsia="zh-CN"/>
              </w:rPr>
            </w:pPr>
            <w:r>
              <w:rPr>
                <w:rFonts w:hint="eastAsia" w:ascii="宋体" w:hAnsi="宋体" w:eastAsia="宋体" w:cs="宋体"/>
                <w:sz w:val="28"/>
                <w:szCs w:val="28"/>
                <w:lang w:eastAsia="zh-CN"/>
              </w:rPr>
              <w:t>南宫市卫生监督所</w:t>
            </w:r>
          </w:p>
        </w:tc>
        <w:tc>
          <w:tcPr>
            <w:tcW w:w="2650" w:type="dxa"/>
            <w:tcBorders>
              <w:bottom w:val="single" w:color="auto" w:sz="8" w:space="0"/>
              <w:right w:val="single" w:color="auto" w:sz="8" w:space="0"/>
            </w:tcBorders>
            <w:shd w:val="clear" w:color="auto" w:fill="auto"/>
            <w:noWrap w:val="0"/>
            <w:vAlign w:val="bottom"/>
          </w:tcPr>
          <w:p>
            <w:pPr>
              <w:spacing w:line="0" w:lineRule="atLeast"/>
              <w:rPr>
                <w:rFonts w:hint="eastAsia" w:ascii="Times New Roman" w:hAnsi="Times New Roman" w:eastAsia="宋体"/>
                <w:sz w:val="10"/>
                <w:lang w:eastAsia="zh-CN"/>
              </w:rPr>
            </w:pPr>
            <w:r>
              <w:rPr>
                <w:rFonts w:hint="eastAsia" w:ascii="宋体" w:hAnsi="宋体" w:eastAsia="宋体" w:cs="宋体"/>
                <w:sz w:val="28"/>
                <w:szCs w:val="28"/>
                <w:lang w:eastAsia="zh-CN"/>
              </w:rPr>
              <w:t>财政补助事业单位</w:t>
            </w:r>
          </w:p>
        </w:tc>
        <w:tc>
          <w:tcPr>
            <w:tcW w:w="2834" w:type="dxa"/>
            <w:tcBorders>
              <w:bottom w:val="single" w:color="auto" w:sz="8" w:space="0"/>
              <w:right w:val="single" w:color="auto" w:sz="8" w:space="0"/>
            </w:tcBorders>
            <w:shd w:val="clear" w:color="auto" w:fill="auto"/>
            <w:noWrap w:val="0"/>
            <w:vAlign w:val="bottom"/>
          </w:tcPr>
          <w:p>
            <w:pPr>
              <w:spacing w:line="0" w:lineRule="atLeast"/>
              <w:rPr>
                <w:rFonts w:hint="eastAsia" w:ascii="Times New Roman" w:hAnsi="Times New Roman" w:eastAsia="宋体"/>
                <w:sz w:val="10"/>
                <w:lang w:eastAsia="zh-CN"/>
              </w:rPr>
            </w:pPr>
            <w:r>
              <w:rPr>
                <w:rFonts w:hint="eastAsia" w:ascii="宋体" w:hAnsi="宋体" w:eastAsia="宋体" w:cs="宋体"/>
                <w:sz w:val="28"/>
                <w:szCs w:val="28"/>
                <w:lang w:eastAsia="zh-CN"/>
              </w:rPr>
              <w:t>财政性资金基本保证</w:t>
            </w:r>
          </w:p>
        </w:tc>
      </w:tr>
    </w:tbl>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ascii="宋体" w:hAnsi="宋体" w:eastAsia="宋体" w:cs="宋体"/>
          <w:color w:val="FF0000"/>
          <w:sz w:val="32"/>
          <w:szCs w:val="22"/>
          <w:lang w:val="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pacing w:line="240" w:lineRule="auto"/>
        <w:ind w:left="0" w:leftChars="0" w:firstLine="0" w:firstLineChars="0"/>
        <w:jc w:val="center"/>
        <w:textAlignment w:val="auto"/>
        <w:rPr>
          <w:rFonts w:hint="eastAsia" w:ascii="黑体" w:hAnsi="黑体" w:eastAsia="黑体"/>
          <w:b/>
          <w:bCs/>
          <w:sz w:val="36"/>
          <w:szCs w:val="36"/>
          <w:lang w:val="en-US" w:eastAsia="zh-CN"/>
        </w:rPr>
      </w:pPr>
      <w:r>
        <w:rPr>
          <w:rFonts w:hint="eastAsia" w:eastAsia="仿宋_GB2312"/>
          <w:b/>
          <w:bCs/>
          <w:sz w:val="36"/>
          <w:szCs w:val="36"/>
        </w:rPr>
        <w:t>第</w:t>
      </w:r>
      <w:r>
        <w:rPr>
          <w:rFonts w:hint="eastAsia" w:eastAsia="仿宋_GB2312"/>
          <w:b/>
          <w:bCs/>
          <w:sz w:val="36"/>
          <w:szCs w:val="36"/>
          <w:lang w:eastAsia="zh-CN"/>
        </w:rPr>
        <w:t>二</w:t>
      </w:r>
      <w:r>
        <w:rPr>
          <w:rFonts w:hint="eastAsia" w:eastAsia="仿宋_GB2312"/>
          <w:b/>
          <w:bCs/>
          <w:sz w:val="36"/>
          <w:szCs w:val="36"/>
        </w:rPr>
        <w:t xml:space="preserve">部分  </w:t>
      </w:r>
      <w:r>
        <w:rPr>
          <w:rFonts w:hint="eastAsia" w:ascii="黑体" w:hAnsi="黑体" w:eastAsia="黑体"/>
          <w:b/>
          <w:bCs/>
          <w:sz w:val="36"/>
          <w:szCs w:val="36"/>
        </w:rPr>
        <w:t>南宫市卫生监督所</w:t>
      </w:r>
      <w:r>
        <w:rPr>
          <w:rFonts w:hint="eastAsia" w:ascii="黑体" w:hAnsi="黑体" w:eastAsia="黑体"/>
          <w:b/>
          <w:bCs/>
          <w:sz w:val="36"/>
          <w:szCs w:val="36"/>
          <w:lang w:val="en-US" w:eastAsia="zh-CN"/>
        </w:rPr>
        <w:t>2018年度决算报表</w:t>
      </w:r>
    </w:p>
    <w:p>
      <w:pPr>
        <w:keepNext w:val="0"/>
        <w:keepLines w:val="0"/>
        <w:pageBreakBefore w:val="0"/>
        <w:widowControl/>
        <w:kinsoku/>
        <w:wordWrap/>
        <w:overflowPunct/>
        <w:topLinePunct w:val="0"/>
        <w:autoSpaceDE/>
        <w:autoSpaceDN/>
        <w:bidi w:val="0"/>
        <w:adjustRightInd/>
        <w:spacing w:line="240" w:lineRule="auto"/>
        <w:ind w:left="0" w:leftChars="0" w:firstLine="0" w:firstLineChars="0"/>
        <w:jc w:val="center"/>
        <w:textAlignment w:val="auto"/>
        <w:rPr>
          <w:rFonts w:hint="default" w:ascii="黑体" w:hAnsi="黑体" w:eastAsia="黑体"/>
          <w:b/>
          <w:bCs/>
          <w:sz w:val="36"/>
          <w:szCs w:val="36"/>
          <w:lang w:val="en-US" w:eastAsia="zh-CN"/>
        </w:rPr>
      </w:pPr>
    </w:p>
    <w:p>
      <w:pPr>
        <w:keepNext w:val="0"/>
        <w:keepLines w:val="0"/>
        <w:pageBreakBefore w:val="0"/>
        <w:widowControl/>
        <w:kinsoku/>
        <w:wordWrap/>
        <w:overflowPunct/>
        <w:topLinePunct w:val="0"/>
        <w:autoSpaceDE/>
        <w:autoSpaceDN/>
        <w:bidi w:val="0"/>
        <w:adjustRightInd/>
        <w:spacing w:line="240" w:lineRule="auto"/>
        <w:ind w:left="0" w:leftChars="0" w:firstLine="0" w:firstLineChars="0"/>
        <w:jc w:val="center"/>
        <w:textAlignment w:val="auto"/>
        <w:rPr>
          <w:rFonts w:hint="default" w:ascii="黑体" w:hAnsi="黑体" w:eastAsia="黑体"/>
          <w:b/>
          <w:bCs/>
          <w:sz w:val="36"/>
          <w:szCs w:val="36"/>
          <w:lang w:val="en-US" w:eastAsia="zh-CN"/>
        </w:rPr>
      </w:pPr>
    </w:p>
    <w:p>
      <w:pPr>
        <w:spacing w:line="53" w:lineRule="exact"/>
        <w:jc w:val="both"/>
        <w:rPr>
          <w:rFonts w:hint="default" w:ascii="Times New Roman" w:hAnsi="Times New Roman" w:eastAsia="宋体"/>
          <w:lang w:val="en-US" w:eastAsia="zh-CN"/>
        </w:rPr>
      </w:pPr>
    </w:p>
    <w:p>
      <w:pPr>
        <w:spacing w:line="20" w:lineRule="exact"/>
        <w:jc w:val="both"/>
        <w:rPr>
          <w:rFonts w:ascii="Times New Roman" w:hAnsi="Times New Roman" w:eastAsia="Times New Roman"/>
        </w:rPr>
      </w:pPr>
      <w:r>
        <w:rPr>
          <w:rFonts w:ascii="Times New Roman" w:hAnsi="Times New Roman" w:eastAsia="Times New Roman"/>
          <w:sz w:val="11"/>
        </w:rPr>
        <mc:AlternateContent>
          <mc:Choice Requires="wps">
            <w:drawing>
              <wp:anchor distT="0" distB="0" distL="114300" distR="114300" simplePos="0" relativeHeight="251675648" behindDoc="1" locked="0" layoutInCell="1" allowOverlap="1">
                <wp:simplePos x="0" y="0"/>
                <wp:positionH relativeFrom="column">
                  <wp:posOffset>6176645</wp:posOffset>
                </wp:positionH>
                <wp:positionV relativeFrom="paragraph">
                  <wp:posOffset>0</wp:posOffset>
                </wp:positionV>
                <wp:extent cx="0" cy="252730"/>
                <wp:effectExtent l="8890" t="0" r="10160" b="13970"/>
                <wp:wrapNone/>
                <wp:docPr id="6" name="直接连接符 6"/>
                <wp:cNvGraphicFramePr/>
                <a:graphic xmlns:a="http://schemas.openxmlformats.org/drawingml/2006/main">
                  <a:graphicData uri="http://schemas.microsoft.com/office/word/2010/wordprocessingShape">
                    <wps:wsp>
                      <wps:cNvCnPr/>
                      <wps:spPr>
                        <a:xfrm>
                          <a:off x="0" y="0"/>
                          <a:ext cx="0" cy="252730"/>
                        </a:xfrm>
                        <a:prstGeom prst="line">
                          <a:avLst/>
                        </a:prstGeom>
                        <a:ln w="18287"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6.35pt;margin-top:0pt;height:19.9pt;width:0pt;z-index:-251640832;mso-width-relative:page;mso-height-relative:page;" filled="f" stroked="t" coordsize="21600,21600" o:gfxdata="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OP/zVAAAABwEAAA8AAAAAAAAA&#10;AQAgAAAAIgAAAGRycy9kb3ducmV2LnhtbFBLAQIUABQAAAAIAIdO4kAL7IId2wEAAJYDAAAOAAAA&#10;AAAAAAEAIAAAACQBAABkcnMvZTJvRG9jLnhtbFBLBQYAAAAABgAGAFkBAABxBQAAAAA=&#10;">
                <v:fill on="f" focussize="0,0"/>
                <v:stroke weight="1.43992125984252pt" color="#FFFFFF" joinstyle="round"/>
                <v:imagedata o:title=""/>
                <o:lock v:ext="edit" aspectratio="f"/>
              </v:line>
            </w:pict>
          </mc:Fallback>
        </mc:AlternateContent>
      </w:r>
    </w:p>
    <w:p>
      <w:pPr>
        <w:spacing w:line="65" w:lineRule="exact"/>
        <w:jc w:val="both"/>
        <w:rPr>
          <w:rFonts w:ascii="Times New Roman" w:hAnsi="Times New Roman" w:eastAsia="Times New Roman"/>
        </w:rPr>
      </w:pPr>
    </w:p>
    <w:tbl>
      <w:tblPr>
        <w:tblStyle w:val="7"/>
        <w:tblW w:w="9322" w:type="dxa"/>
        <w:tblInd w:w="0" w:type="dxa"/>
        <w:shd w:val="clear" w:color="auto" w:fill="auto"/>
        <w:tblLayout w:type="fixed"/>
        <w:tblCellMar>
          <w:top w:w="0" w:type="dxa"/>
          <w:left w:w="0" w:type="dxa"/>
          <w:bottom w:w="0" w:type="dxa"/>
          <w:right w:w="0" w:type="dxa"/>
        </w:tblCellMar>
      </w:tblPr>
      <w:tblGrid>
        <w:gridCol w:w="1858"/>
        <w:gridCol w:w="1512"/>
        <w:gridCol w:w="1055"/>
        <w:gridCol w:w="2191"/>
        <w:gridCol w:w="1512"/>
        <w:gridCol w:w="1194"/>
      </w:tblGrid>
      <w:tr>
        <w:tblPrEx>
          <w:shd w:val="clear" w:color="auto" w:fill="auto"/>
          <w:tblLayout w:type="fixed"/>
          <w:tblCellMar>
            <w:top w:w="0" w:type="dxa"/>
            <w:left w:w="0" w:type="dxa"/>
            <w:bottom w:w="0" w:type="dxa"/>
            <w:right w:w="0" w:type="dxa"/>
          </w:tblCellMar>
        </w:tblPrEx>
        <w:trPr>
          <w:trHeight w:val="312" w:hRule="atLeast"/>
        </w:trPr>
        <w:tc>
          <w:tcPr>
            <w:tcW w:w="9322"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12" w:hRule="atLeast"/>
        </w:trPr>
        <w:tc>
          <w:tcPr>
            <w:tcW w:w="18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5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0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5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19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公开01表</w:t>
            </w:r>
          </w:p>
        </w:tc>
      </w:tr>
      <w:tr>
        <w:tblPrEx>
          <w:tblLayout w:type="fixed"/>
          <w:tblCellMar>
            <w:top w:w="0" w:type="dxa"/>
            <w:left w:w="0" w:type="dxa"/>
            <w:bottom w:w="0" w:type="dxa"/>
            <w:right w:w="0" w:type="dxa"/>
          </w:tblCellMar>
        </w:tblPrEx>
        <w:trPr>
          <w:trHeight w:val="312" w:hRule="atLeast"/>
        </w:trPr>
        <w:tc>
          <w:tcPr>
            <w:tcW w:w="337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部门：南宫市卫生监督所</w:t>
            </w:r>
          </w:p>
        </w:tc>
        <w:tc>
          <w:tcPr>
            <w:tcW w:w="10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70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12" w:hRule="atLeast"/>
        </w:trPr>
        <w:tc>
          <w:tcPr>
            <w:tcW w:w="442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4897"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0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19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107.24</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二、上级补助收入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三、事业收入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四、经营收入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五、附属单位上缴收入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六、其他收入</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九、医疗卫生与计划生育支出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98.81</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十八、国土海洋气象等支出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二十一、其他支出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二十二、债务还本支出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二十三、债务付息支出</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107.24</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105.33</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用事业基金弥补收支差额</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结余分配</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r>
      <w:tr>
        <w:tblPrEx>
          <w:tblLayout w:type="fixed"/>
          <w:tblCellMar>
            <w:top w:w="0" w:type="dxa"/>
            <w:left w:w="0" w:type="dxa"/>
            <w:bottom w:w="0" w:type="dxa"/>
            <w:right w:w="0" w:type="dxa"/>
          </w:tblCellMar>
        </w:tblPrEx>
        <w:trPr>
          <w:trHeight w:val="312" w:hRule="atLeast"/>
        </w:trPr>
        <w:tc>
          <w:tcPr>
            <w:tcW w:w="1858"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107.24</w:t>
            </w:r>
          </w:p>
        </w:tc>
        <w:tc>
          <w:tcPr>
            <w:tcW w:w="2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5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1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107.24</w:t>
            </w:r>
          </w:p>
        </w:tc>
      </w:tr>
      <w:tr>
        <w:tblPrEx>
          <w:tblLayout w:type="fixed"/>
          <w:tblCellMar>
            <w:top w:w="0" w:type="dxa"/>
            <w:left w:w="0" w:type="dxa"/>
            <w:bottom w:w="0" w:type="dxa"/>
            <w:right w:w="0" w:type="dxa"/>
          </w:tblCellMar>
        </w:tblPrEx>
        <w:trPr>
          <w:trHeight w:val="312" w:hRule="atLeast"/>
        </w:trPr>
        <w:tc>
          <w:tcPr>
            <w:tcW w:w="932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注：本表反映部门本年度的总收支和年末结转结余情况。</w:t>
            </w:r>
          </w:p>
        </w:tc>
      </w:tr>
    </w:tbl>
    <w:p>
      <w:pPr>
        <w:spacing w:line="274" w:lineRule="exact"/>
        <w:jc w:val="center"/>
        <w:rPr>
          <w:rFonts w:ascii="宋体" w:hAnsi="宋体" w:eastAsia="宋体"/>
          <w:sz w:val="24"/>
        </w:rPr>
      </w:pPr>
    </w:p>
    <w:p>
      <w:pPr>
        <w:spacing w:line="274" w:lineRule="exact"/>
        <w:jc w:val="center"/>
        <w:rPr>
          <w:rFonts w:ascii="宋体" w:hAnsi="宋体" w:eastAsia="宋体"/>
          <w:sz w:val="24"/>
        </w:rPr>
      </w:pPr>
    </w:p>
    <w:p>
      <w:pPr>
        <w:spacing w:line="274" w:lineRule="exact"/>
        <w:jc w:val="center"/>
        <w:rPr>
          <w:rFonts w:ascii="宋体" w:hAnsi="宋体" w:eastAsia="宋体"/>
          <w:sz w:val="24"/>
        </w:rPr>
      </w:pPr>
      <w:r>
        <w:rPr>
          <w:rFonts w:ascii="宋体" w:hAnsi="宋体" w:eastAsia="宋体"/>
          <w:sz w:val="24"/>
        </w:rPr>
        <w:t>—6—</w:t>
      </w:r>
    </w:p>
    <w:p>
      <w:pPr>
        <w:spacing w:line="274" w:lineRule="exact"/>
        <w:jc w:val="both"/>
        <w:rPr>
          <w:rFonts w:ascii="宋体" w:hAnsi="宋体" w:eastAsia="宋体"/>
          <w:sz w:val="24"/>
        </w:rPr>
        <w:sectPr>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p>
      <w:pPr>
        <w:spacing w:line="82" w:lineRule="exact"/>
        <w:jc w:val="both"/>
        <w:rPr>
          <w:rFonts w:ascii="Times New Roman" w:hAnsi="Times New Roman" w:eastAsia="Times New Roman"/>
        </w:rPr>
      </w:pPr>
      <w:bookmarkStart w:id="1" w:name="page12"/>
      <w:bookmarkEnd w:id="1"/>
    </w:p>
    <w:p>
      <w:pPr>
        <w:spacing w:line="20" w:lineRule="exact"/>
        <w:jc w:val="both"/>
        <w:rPr>
          <w:rFonts w:ascii="Times New Roman" w:hAnsi="Times New Roman" w:eastAsia="Times New Roman"/>
        </w:rPr>
      </w:pPr>
      <w:r>
        <w:rPr>
          <w:rFonts w:ascii="Times New Roman" w:hAnsi="Times New Roman" w:eastAsia="Times New Roman"/>
          <w:sz w:val="13"/>
        </w:rPr>
        <mc:AlternateContent>
          <mc:Choice Requires="wps">
            <w:drawing>
              <wp:anchor distT="0" distB="0" distL="114300" distR="114300" simplePos="0" relativeHeight="251676672" behindDoc="1" locked="0" layoutInCell="1" allowOverlap="1">
                <wp:simplePos x="0" y="0"/>
                <wp:positionH relativeFrom="column">
                  <wp:posOffset>6078220</wp:posOffset>
                </wp:positionH>
                <wp:positionV relativeFrom="paragraph">
                  <wp:posOffset>-98425</wp:posOffset>
                </wp:positionV>
                <wp:extent cx="0" cy="132080"/>
                <wp:effectExtent l="8890" t="0" r="10160" b="1270"/>
                <wp:wrapNone/>
                <wp:docPr id="7" name="直接连接符 7"/>
                <wp:cNvGraphicFramePr/>
                <a:graphic xmlns:a="http://schemas.openxmlformats.org/drawingml/2006/main">
                  <a:graphicData uri="http://schemas.microsoft.com/office/word/2010/wordprocessingShape">
                    <wps:wsp>
                      <wps:cNvCnPr/>
                      <wps:spPr>
                        <a:xfrm>
                          <a:off x="0" y="0"/>
                          <a:ext cx="0" cy="132080"/>
                        </a:xfrm>
                        <a:prstGeom prst="line">
                          <a:avLst/>
                        </a:prstGeom>
                        <a:ln w="1828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8.6pt;margin-top:-7.75pt;height:10.4pt;width:0pt;z-index:-251639808;mso-width-relative:page;mso-height-relative:page;" filled="f" stroked="t" coordsize="21600,21600" o:gfxdata="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r6AX1wAAAAkBAAAPAAAAAAAA&#10;AAEAIAAAACIAAABkcnMvZG93bnJldi54bWxQSwECFAAUAAAACACHTuJALbxFaNoBAACWAwAADgAA&#10;AAAAAAABACAAAAAmAQAAZHJzL2Uyb0RvYy54bWxQSwUGAAAAAAYABgBZAQAAcgUAAAAA&#10;">
                <v:fill on="f" focussize="0,0"/>
                <v:stroke weight="1.44pt" color="#FFFFFF" joinstyle="round"/>
                <v:imagedata o:title=""/>
                <o:lock v:ext="edit" aspectratio="f"/>
              </v:line>
            </w:pict>
          </mc:Fallback>
        </mc:AlternateContent>
      </w:r>
    </w:p>
    <w:p>
      <w:pPr>
        <w:spacing w:line="200" w:lineRule="exact"/>
        <w:ind w:left="400" w:leftChars="100" w:hanging="200" w:hangingChars="100"/>
        <w:jc w:val="both"/>
        <w:rPr>
          <w:rFonts w:ascii="Times New Roman" w:hAnsi="Times New Roman" w:eastAsia="Times New Roman"/>
        </w:rPr>
      </w:pPr>
    </w:p>
    <w:p>
      <w:pPr>
        <w:spacing w:line="200" w:lineRule="exact"/>
        <w:jc w:val="both"/>
        <w:rPr>
          <w:rFonts w:ascii="Times New Roman" w:hAnsi="Times New Roman" w:eastAsia="Times New Roman"/>
        </w:rPr>
      </w:pPr>
    </w:p>
    <w:tbl>
      <w:tblPr>
        <w:tblStyle w:val="7"/>
        <w:tblW w:w="9604" w:type="dxa"/>
        <w:tblInd w:w="0" w:type="dxa"/>
        <w:shd w:val="clear" w:color="auto" w:fill="auto"/>
        <w:tblLayout w:type="fixed"/>
        <w:tblCellMar>
          <w:top w:w="0" w:type="dxa"/>
          <w:left w:w="0" w:type="dxa"/>
          <w:bottom w:w="0" w:type="dxa"/>
          <w:right w:w="0" w:type="dxa"/>
        </w:tblCellMar>
      </w:tblPr>
      <w:tblGrid>
        <w:gridCol w:w="1608"/>
        <w:gridCol w:w="243"/>
        <w:gridCol w:w="245"/>
        <w:gridCol w:w="2715"/>
        <w:gridCol w:w="696"/>
        <w:gridCol w:w="696"/>
        <w:gridCol w:w="590"/>
        <w:gridCol w:w="590"/>
        <w:gridCol w:w="591"/>
        <w:gridCol w:w="592"/>
        <w:gridCol w:w="1038"/>
      </w:tblGrid>
      <w:tr>
        <w:tblPrEx>
          <w:shd w:val="clear" w:color="auto" w:fill="auto"/>
          <w:tblLayout w:type="fixed"/>
          <w:tblCellMar>
            <w:top w:w="0" w:type="dxa"/>
            <w:left w:w="0" w:type="dxa"/>
            <w:bottom w:w="0" w:type="dxa"/>
            <w:right w:w="0" w:type="dxa"/>
          </w:tblCellMar>
        </w:tblPrEx>
        <w:trPr>
          <w:trHeight w:val="390" w:hRule="atLeast"/>
        </w:trPr>
        <w:tc>
          <w:tcPr>
            <w:tcW w:w="9604" w:type="dxa"/>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255" w:hRule="atLeast"/>
        </w:trPr>
        <w:tc>
          <w:tcPr>
            <w:tcW w:w="160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255" w:hRule="atLeast"/>
        </w:trPr>
        <w:tc>
          <w:tcPr>
            <w:tcW w:w="4811"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部门：南宫市卫生监督所</w:t>
            </w: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2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4811"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6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9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59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3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08" w:hRule="atLeast"/>
        </w:trPr>
        <w:tc>
          <w:tcPr>
            <w:tcW w:w="2096"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71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09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1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811"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9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420" w:hRule="atLeast"/>
        </w:trPr>
        <w:tc>
          <w:tcPr>
            <w:tcW w:w="4811"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107.24</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107.24</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100.72</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20" w:hRule="atLeast"/>
        </w:trPr>
        <w:tc>
          <w:tcPr>
            <w:tcW w:w="209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604"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74" w:lineRule="exact"/>
        <w:jc w:val="center"/>
        <w:rPr>
          <w:rFonts w:ascii="宋体" w:hAnsi="宋体" w:eastAsia="宋体"/>
          <w:sz w:val="24"/>
        </w:rPr>
      </w:pPr>
      <w:r>
        <w:rPr>
          <w:rFonts w:ascii="宋体" w:hAnsi="宋体" w:eastAsia="宋体"/>
          <w:sz w:val="24"/>
        </w:rPr>
        <w:t>—7—</w:t>
      </w:r>
    </w:p>
    <w:p>
      <w:pPr>
        <w:spacing w:line="274" w:lineRule="exact"/>
        <w:jc w:val="both"/>
        <w:rPr>
          <w:rFonts w:ascii="宋体" w:hAnsi="宋体" w:eastAsia="宋体"/>
          <w:sz w:val="24"/>
        </w:rPr>
        <w:sectPr>
          <w:pgSz w:w="11900" w:h="16838"/>
          <w:pgMar w:top="1304" w:right="1166" w:bottom="1304" w:left="1160" w:header="0" w:footer="0" w:gutter="0"/>
          <w:pgBorders>
            <w:top w:val="none" w:sz="0" w:space="0"/>
            <w:left w:val="none" w:sz="0" w:space="0"/>
            <w:bottom w:val="none" w:sz="0" w:space="0"/>
            <w:right w:val="none" w:sz="0" w:space="0"/>
          </w:pgBorders>
          <w:cols w:space="720" w:num="1"/>
          <w:rtlGutter w:val="0"/>
          <w:docGrid w:linePitch="360" w:charSpace="0"/>
        </w:sectPr>
      </w:pPr>
    </w:p>
    <w:p>
      <w:pPr>
        <w:spacing w:line="34" w:lineRule="exact"/>
        <w:jc w:val="both"/>
        <w:rPr>
          <w:rFonts w:ascii="Times New Roman" w:hAnsi="Times New Roman" w:eastAsia="Times New Roman"/>
        </w:rPr>
      </w:pPr>
      <w:bookmarkStart w:id="2" w:name="page13"/>
      <w:bookmarkEnd w:id="2"/>
    </w:p>
    <w:p>
      <w:pPr>
        <w:spacing w:line="82" w:lineRule="exact"/>
        <w:jc w:val="both"/>
        <w:rPr>
          <w:rFonts w:ascii="Times New Roman" w:hAnsi="Times New Roman" w:eastAsia="Times New Roman"/>
        </w:rPr>
      </w:pPr>
    </w:p>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ind w:left="40"/>
        <w:jc w:val="both"/>
        <w:rPr>
          <w:rFonts w:ascii="宋体" w:hAnsi="宋体" w:eastAsia="宋体"/>
          <w:sz w:val="35"/>
          <w:vertAlign w:val="subscript"/>
        </w:rPr>
      </w:pPr>
    </w:p>
    <w:tbl>
      <w:tblPr>
        <w:tblStyle w:val="7"/>
        <w:tblW w:w="9584" w:type="dxa"/>
        <w:tblInd w:w="0" w:type="dxa"/>
        <w:shd w:val="clear" w:color="auto" w:fill="auto"/>
        <w:tblLayout w:type="fixed"/>
        <w:tblCellMar>
          <w:top w:w="0" w:type="dxa"/>
          <w:left w:w="0" w:type="dxa"/>
          <w:bottom w:w="0" w:type="dxa"/>
          <w:right w:w="0" w:type="dxa"/>
        </w:tblCellMar>
      </w:tblPr>
      <w:tblGrid>
        <w:gridCol w:w="1691"/>
        <w:gridCol w:w="256"/>
        <w:gridCol w:w="233"/>
        <w:gridCol w:w="2855"/>
        <w:gridCol w:w="832"/>
        <w:gridCol w:w="750"/>
        <w:gridCol w:w="617"/>
        <w:gridCol w:w="733"/>
        <w:gridCol w:w="529"/>
        <w:gridCol w:w="1088"/>
      </w:tblGrid>
      <w:tr>
        <w:tblPrEx>
          <w:shd w:val="clear" w:color="auto" w:fill="auto"/>
          <w:tblLayout w:type="fixed"/>
          <w:tblCellMar>
            <w:top w:w="0" w:type="dxa"/>
            <w:left w:w="0" w:type="dxa"/>
            <w:bottom w:w="0" w:type="dxa"/>
            <w:right w:w="0" w:type="dxa"/>
          </w:tblCellMar>
        </w:tblPrEx>
        <w:trPr>
          <w:trHeight w:val="390" w:hRule="atLeast"/>
        </w:trPr>
        <w:tc>
          <w:tcPr>
            <w:tcW w:w="9584"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255" w:hRule="atLeast"/>
        </w:trPr>
        <w:tc>
          <w:tcPr>
            <w:tcW w:w="16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255" w:hRule="atLeast"/>
        </w:trPr>
        <w:tc>
          <w:tcPr>
            <w:tcW w:w="5035"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部门：南宫市卫生监督所</w:t>
            </w:r>
          </w:p>
        </w:tc>
        <w:tc>
          <w:tcPr>
            <w:tcW w:w="8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50"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035"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3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1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3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2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8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08" w:hRule="atLeast"/>
        </w:trPr>
        <w:tc>
          <w:tcPr>
            <w:tcW w:w="218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85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18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035"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2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420" w:hRule="atLeast"/>
        </w:trPr>
        <w:tc>
          <w:tcPr>
            <w:tcW w:w="5035"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105.33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105.33</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0"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9584"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ind w:left="40"/>
        <w:jc w:val="both"/>
        <w:rPr>
          <w:rFonts w:ascii="宋体" w:hAnsi="宋体" w:eastAsia="宋体"/>
          <w:sz w:val="35"/>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both"/>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302" w:lineRule="exact"/>
        <w:jc w:val="center"/>
        <w:rPr>
          <w:rFonts w:ascii="宋体" w:hAnsi="宋体" w:eastAsia="宋体"/>
          <w:sz w:val="44"/>
          <w:szCs w:val="24"/>
          <w:vertAlign w:val="subscript"/>
        </w:rPr>
      </w:pPr>
    </w:p>
    <w:p>
      <w:pPr>
        <w:tabs>
          <w:tab w:val="left" w:pos="4400"/>
        </w:tabs>
        <w:spacing w:line="240" w:lineRule="auto"/>
        <w:ind w:left="0"/>
        <w:jc w:val="center"/>
        <w:rPr>
          <w:rFonts w:hint="default" w:ascii="宋体" w:hAnsi="宋体" w:eastAsia="宋体"/>
          <w:sz w:val="48"/>
          <w:szCs w:val="28"/>
          <w:vertAlign w:val="subscript"/>
          <w:lang w:val="en-US" w:eastAsia="zh-CN"/>
        </w:rPr>
        <w:sectPr>
          <w:pgSz w:w="11900" w:h="16838"/>
          <w:pgMar w:top="1304" w:right="1106" w:bottom="1304" w:left="1240" w:header="0" w:footer="0" w:gutter="0"/>
          <w:pgBorders>
            <w:top w:val="none" w:sz="0" w:space="0"/>
            <w:left w:val="none" w:sz="0" w:space="0"/>
            <w:bottom w:val="none" w:sz="0" w:space="0"/>
            <w:right w:val="none" w:sz="0" w:space="0"/>
          </w:pgBorders>
          <w:cols w:space="720" w:num="1"/>
          <w:rtlGutter w:val="0"/>
          <w:docGrid w:linePitch="360" w:charSpace="0"/>
        </w:sectPr>
      </w:pPr>
      <w:r>
        <w:rPr>
          <w:rFonts w:hint="eastAsia" w:ascii="宋体" w:hAnsi="宋体" w:eastAsia="宋体"/>
          <w:sz w:val="48"/>
          <w:szCs w:val="28"/>
          <w:vertAlign w:val="subscript"/>
          <w:lang w:val="en-US" w:eastAsia="zh-CN"/>
        </w:rPr>
        <w:t>-8</w:t>
      </w:r>
    </w:p>
    <w:p>
      <w:pPr>
        <w:spacing w:line="20" w:lineRule="exact"/>
        <w:jc w:val="both"/>
        <w:rPr>
          <w:rFonts w:ascii="Times New Roman" w:hAnsi="Times New Roman" w:eastAsia="Times New Roman"/>
        </w:rPr>
      </w:pPr>
      <w:bookmarkStart w:id="3" w:name="page14"/>
      <w:bookmarkEnd w:id="3"/>
      <w:r>
        <w:rPr>
          <w:rFonts w:ascii="Times New Roman" w:hAnsi="Times New Roman" w:eastAsia="Times New Roman"/>
          <w:sz w:val="10"/>
        </w:rPr>
        <w:drawing>
          <wp:anchor distT="0" distB="0" distL="114300" distR="114300" simplePos="0" relativeHeight="251677696" behindDoc="1" locked="0" layoutInCell="1" allowOverlap="1">
            <wp:simplePos x="0" y="0"/>
            <wp:positionH relativeFrom="column">
              <wp:posOffset>1905</wp:posOffset>
            </wp:positionH>
            <wp:positionV relativeFrom="paragraph">
              <wp:posOffset>-6398895</wp:posOffset>
            </wp:positionV>
            <wp:extent cx="6021070" cy="5229860"/>
            <wp:effectExtent l="0" t="0" r="17780" b="889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4"/>
                    <a:stretch>
                      <a:fillRect/>
                    </a:stretch>
                  </pic:blipFill>
                  <pic:spPr>
                    <a:xfrm>
                      <a:off x="0" y="0"/>
                      <a:ext cx="6021070" cy="5229860"/>
                    </a:xfrm>
                    <a:prstGeom prst="rect">
                      <a:avLst/>
                    </a:prstGeom>
                    <a:noFill/>
                    <a:ln>
                      <a:noFill/>
                    </a:ln>
                  </pic:spPr>
                </pic:pic>
              </a:graphicData>
            </a:graphic>
          </wp:anchor>
        </w:drawing>
      </w:r>
      <w:r>
        <w:rPr>
          <w:rFonts w:ascii="Times New Roman" w:hAnsi="Times New Roman" w:eastAsia="Times New Roman"/>
          <w:sz w:val="10"/>
        </w:rPr>
        <mc:AlternateContent>
          <mc:Choice Requires="wps">
            <w:drawing>
              <wp:anchor distT="0" distB="0" distL="114300" distR="114300" simplePos="0" relativeHeight="251678720" behindDoc="1" locked="0" layoutInCell="1" allowOverlap="1">
                <wp:simplePos x="0" y="0"/>
                <wp:positionH relativeFrom="column">
                  <wp:posOffset>6000750</wp:posOffset>
                </wp:positionH>
                <wp:positionV relativeFrom="paragraph">
                  <wp:posOffset>0</wp:posOffset>
                </wp:positionV>
                <wp:extent cx="0" cy="226695"/>
                <wp:effectExtent l="8890" t="0" r="10160" b="1905"/>
                <wp:wrapNone/>
                <wp:docPr id="4" name="直接连接符 4"/>
                <wp:cNvGraphicFramePr/>
                <a:graphic xmlns:a="http://schemas.openxmlformats.org/drawingml/2006/main">
                  <a:graphicData uri="http://schemas.microsoft.com/office/word/2010/wordprocessingShape">
                    <wps:wsp>
                      <wps:cNvCnPr/>
                      <wps:spPr>
                        <a:xfrm>
                          <a:off x="0" y="0"/>
                          <a:ext cx="0" cy="226695"/>
                        </a:xfrm>
                        <a:prstGeom prst="line">
                          <a:avLst/>
                        </a:prstGeom>
                        <a:ln w="1828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2.5pt;margin-top:0pt;height:17.85pt;width:0pt;z-index:-251637760;mso-width-relative:page;mso-height-relative:page;" filled="f" stroked="t" coordsize="21600,21600" o:gfxdata="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BOHG1QAAAAcBAAAPAAAAAAAAAAEA&#10;IAAAACIAAABkcnMvZG93bnJldi54bWxQSwECFAAUAAAACACHTuJAvhG5ttkBAACWAwAADgAAAAAA&#10;AAABACAAAAAkAQAAZHJzL2Uyb0RvYy54bWxQSwUGAAAAAAYABgBZAQAAbwUAAAAA&#10;">
                <v:fill on="f" focussize="0,0"/>
                <v:stroke weight="1.44pt" color="#FFFFFF" joinstyle="round"/>
                <v:imagedata o:title=""/>
                <o:lock v:ext="edit" aspectratio="f"/>
              </v:line>
            </w:pict>
          </mc:Fallback>
        </mc:AlternateContent>
      </w:r>
    </w:p>
    <w:p>
      <w:pPr>
        <w:spacing w:line="50" w:lineRule="exact"/>
        <w:jc w:val="center"/>
        <w:rPr>
          <w:rFonts w:ascii="Times New Roman" w:hAnsi="Times New Roman" w:eastAsia="Times New Roman"/>
        </w:rPr>
      </w:pPr>
    </w:p>
    <w:tbl>
      <w:tblPr>
        <w:tblStyle w:val="7"/>
        <w:tblW w:w="9322" w:type="dxa"/>
        <w:tblInd w:w="0" w:type="dxa"/>
        <w:shd w:val="clear" w:color="auto" w:fill="auto"/>
        <w:tblLayout w:type="fixed"/>
        <w:tblCellMar>
          <w:top w:w="0" w:type="dxa"/>
          <w:left w:w="0" w:type="dxa"/>
          <w:bottom w:w="0" w:type="dxa"/>
          <w:right w:w="0" w:type="dxa"/>
        </w:tblCellMar>
      </w:tblPr>
      <w:tblGrid>
        <w:gridCol w:w="2793"/>
        <w:gridCol w:w="525"/>
        <w:gridCol w:w="772"/>
        <w:gridCol w:w="2174"/>
        <w:gridCol w:w="607"/>
        <w:gridCol w:w="772"/>
        <w:gridCol w:w="622"/>
        <w:gridCol w:w="1057"/>
      </w:tblGrid>
      <w:tr>
        <w:tblPrEx>
          <w:shd w:val="clear" w:color="auto" w:fill="auto"/>
          <w:tblLayout w:type="fixed"/>
          <w:tblCellMar>
            <w:top w:w="0" w:type="dxa"/>
            <w:left w:w="0" w:type="dxa"/>
            <w:bottom w:w="0" w:type="dxa"/>
            <w:right w:w="0" w:type="dxa"/>
          </w:tblCellMar>
        </w:tblPrEx>
        <w:trPr>
          <w:trHeight w:val="340" w:hRule="atLeast"/>
        </w:trPr>
        <w:tc>
          <w:tcPr>
            <w:tcW w:w="9322"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财政拨款收入支出决算总表</w:t>
            </w:r>
          </w:p>
        </w:tc>
      </w:tr>
      <w:tr>
        <w:tblPrEx>
          <w:tblLayout w:type="fixed"/>
          <w:tblCellMar>
            <w:top w:w="0" w:type="dxa"/>
            <w:left w:w="0" w:type="dxa"/>
            <w:bottom w:w="0" w:type="dxa"/>
            <w:right w:w="0" w:type="dxa"/>
          </w:tblCellMar>
        </w:tblPrEx>
        <w:trPr>
          <w:trHeight w:val="340" w:hRule="atLeast"/>
        </w:trPr>
        <w:tc>
          <w:tcPr>
            <w:tcW w:w="279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77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1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6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77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62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05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公开04表</w:t>
            </w:r>
          </w:p>
        </w:tc>
      </w:tr>
      <w:tr>
        <w:tblPrEx>
          <w:tblLayout w:type="fixed"/>
          <w:tblCellMar>
            <w:top w:w="0" w:type="dxa"/>
            <w:left w:w="0" w:type="dxa"/>
            <w:bottom w:w="0" w:type="dxa"/>
            <w:right w:w="0" w:type="dxa"/>
          </w:tblCellMar>
        </w:tblPrEx>
        <w:trPr>
          <w:trHeight w:val="340" w:hRule="atLeast"/>
        </w:trPr>
        <w:tc>
          <w:tcPr>
            <w:tcW w:w="279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部门：南宫市卫生监督所</w:t>
            </w:r>
          </w:p>
        </w:tc>
        <w:tc>
          <w:tcPr>
            <w:tcW w:w="5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77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21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6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77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6"/>
                <w:szCs w:val="16"/>
                <w:u w:val="none"/>
              </w:rPr>
            </w:pPr>
          </w:p>
        </w:tc>
        <w:tc>
          <w:tcPr>
            <w:tcW w:w="167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Layout w:type="fixed"/>
          <w:tblCellMar>
            <w:top w:w="0" w:type="dxa"/>
            <w:left w:w="0" w:type="dxa"/>
            <w:bottom w:w="0" w:type="dxa"/>
            <w:right w:w="0" w:type="dxa"/>
          </w:tblCellMar>
        </w:tblPrEx>
        <w:trPr>
          <w:trHeight w:val="340" w:hRule="atLeast"/>
        </w:trPr>
        <w:tc>
          <w:tcPr>
            <w:tcW w:w="409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     入</w:t>
            </w:r>
          </w:p>
        </w:tc>
        <w:tc>
          <w:tcPr>
            <w:tcW w:w="5232" w:type="dxa"/>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     出</w:t>
            </w:r>
          </w:p>
        </w:tc>
      </w:tr>
      <w:tr>
        <w:tblPrEx>
          <w:tblLayout w:type="fixed"/>
          <w:tblCellMar>
            <w:top w:w="0" w:type="dxa"/>
            <w:left w:w="0" w:type="dxa"/>
            <w:bottom w:w="0" w:type="dxa"/>
            <w:right w:w="0" w:type="dxa"/>
          </w:tblCellMar>
        </w:tblPrEx>
        <w:trPr>
          <w:trHeight w:val="340" w:hRule="atLeast"/>
        </w:trPr>
        <w:tc>
          <w:tcPr>
            <w:tcW w:w="279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7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1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6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772"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2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05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Layout w:type="fixed"/>
          <w:tblCellMar>
            <w:top w:w="0" w:type="dxa"/>
            <w:left w:w="0" w:type="dxa"/>
            <w:bottom w:w="0" w:type="dxa"/>
            <w:right w:w="0" w:type="dxa"/>
          </w:tblCellMar>
        </w:tblPrEx>
        <w:trPr>
          <w:trHeight w:val="340" w:hRule="atLeast"/>
        </w:trPr>
        <w:tc>
          <w:tcPr>
            <w:tcW w:w="279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5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107.24</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60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6.52</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九、医疗卫生与计划生育支出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98.81</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98.81</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十八、国土海洋气象等支出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二十一、其他支出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二十二、债务还本支出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二十三、债务付息支出</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107.24</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105.33</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105.33</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年初财政拨款结转和结余</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年末财政拨款结转和结余</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1.91</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1.91</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一般公共预算财政拨款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政府性基金预算财政拨款</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40" w:hRule="atLeast"/>
        </w:trPr>
        <w:tc>
          <w:tcPr>
            <w:tcW w:w="2793"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5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107.24</w:t>
            </w:r>
          </w:p>
        </w:tc>
        <w:tc>
          <w:tcPr>
            <w:tcW w:w="217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7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107.24</w:t>
            </w:r>
          </w:p>
        </w:tc>
        <w:tc>
          <w:tcPr>
            <w:tcW w:w="6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107.24</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0" w:type="dxa"/>
            <w:bottom w:w="0" w:type="dxa"/>
            <w:right w:w="0" w:type="dxa"/>
          </w:tblCellMar>
        </w:tblPrEx>
        <w:trPr>
          <w:trHeight w:val="340" w:hRule="atLeast"/>
        </w:trPr>
        <w:tc>
          <w:tcPr>
            <w:tcW w:w="932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注：本表反映部门本年度一般公共预算财政拨款和政府性基金预算财政拨款的总收支和年末结转结余情况。</w:t>
            </w:r>
          </w:p>
        </w:tc>
      </w:tr>
    </w:tbl>
    <w:p>
      <w:pPr>
        <w:spacing w:line="274" w:lineRule="exact"/>
        <w:jc w:val="center"/>
        <w:rPr>
          <w:rFonts w:ascii="宋体" w:hAnsi="宋体" w:eastAsia="宋体"/>
          <w:sz w:val="24"/>
        </w:rPr>
      </w:pPr>
      <w:r>
        <w:rPr>
          <w:rFonts w:ascii="宋体" w:hAnsi="宋体" w:eastAsia="宋体"/>
          <w:sz w:val="24"/>
        </w:rPr>
        <w:t>—9—</w:t>
      </w:r>
    </w:p>
    <w:p>
      <w:pPr>
        <w:spacing w:line="274" w:lineRule="exact"/>
        <w:jc w:val="both"/>
        <w:rPr>
          <w:rFonts w:ascii="宋体" w:hAnsi="宋体" w:eastAsia="宋体"/>
          <w:sz w:val="24"/>
        </w:rPr>
        <w:sectPr>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tbl>
      <w:tblPr>
        <w:tblStyle w:val="7"/>
        <w:tblW w:w="9624" w:type="dxa"/>
        <w:tblInd w:w="0" w:type="dxa"/>
        <w:shd w:val="clear" w:color="auto" w:fill="auto"/>
        <w:tblLayout w:type="fixed"/>
        <w:tblCellMar>
          <w:top w:w="0" w:type="dxa"/>
          <w:left w:w="0" w:type="dxa"/>
          <w:bottom w:w="0" w:type="dxa"/>
          <w:right w:w="0" w:type="dxa"/>
        </w:tblCellMar>
      </w:tblPr>
      <w:tblGrid>
        <w:gridCol w:w="2002"/>
        <w:gridCol w:w="299"/>
        <w:gridCol w:w="299"/>
        <w:gridCol w:w="3527"/>
        <w:gridCol w:w="1106"/>
        <w:gridCol w:w="1106"/>
        <w:gridCol w:w="1285"/>
      </w:tblGrid>
      <w:tr>
        <w:tblPrEx>
          <w:shd w:val="clear" w:color="auto" w:fill="auto"/>
          <w:tblLayout w:type="fixed"/>
          <w:tblCellMar>
            <w:top w:w="0" w:type="dxa"/>
            <w:left w:w="0" w:type="dxa"/>
            <w:bottom w:w="0" w:type="dxa"/>
            <w:right w:w="0" w:type="dxa"/>
          </w:tblCellMar>
        </w:tblPrEx>
        <w:trPr>
          <w:trHeight w:val="454" w:hRule="atLeast"/>
        </w:trPr>
        <w:tc>
          <w:tcPr>
            <w:tcW w:w="9624"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bookmarkStart w:id="4" w:name="page15"/>
            <w:bookmarkEnd w:id="4"/>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454" w:hRule="atLeast"/>
        </w:trPr>
        <w:tc>
          <w:tcPr>
            <w:tcW w:w="200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部门：南宫市卫生监督所</w:t>
            </w:r>
          </w:p>
        </w:tc>
        <w:tc>
          <w:tcPr>
            <w:tcW w:w="35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9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454" w:hRule="atLeast"/>
        </w:trPr>
        <w:tc>
          <w:tcPr>
            <w:tcW w:w="6127"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497"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454" w:hRule="atLeast"/>
        </w:trPr>
        <w:tc>
          <w:tcPr>
            <w:tcW w:w="260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2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454" w:hRule="atLeast"/>
        </w:trPr>
        <w:tc>
          <w:tcPr>
            <w:tcW w:w="260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612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454" w:hRule="atLeast"/>
        </w:trPr>
        <w:tc>
          <w:tcPr>
            <w:tcW w:w="6127"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105.33</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105.33</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98.81</w:t>
            </w: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2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9624"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spacing w:line="140" w:lineRule="exact"/>
        <w:ind w:left="0" w:leftChars="0" w:firstLine="0" w:firstLineChars="0"/>
        <w:jc w:val="both"/>
        <w:rPr>
          <w:rFonts w:ascii="Times New Roman" w:hAnsi="Times New Roman" w:eastAsia="Times New Roman"/>
        </w:rPr>
      </w:pPr>
    </w:p>
    <w:p>
      <w:pPr>
        <w:spacing w:line="8" w:lineRule="exact"/>
        <w:jc w:val="both"/>
        <w:rPr>
          <w:rFonts w:ascii="Times New Roman" w:hAnsi="Times New Roman" w:eastAsia="Times New Roman"/>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both"/>
        <w:rPr>
          <w:rFonts w:ascii="宋体" w:hAnsi="宋体" w:eastAsia="宋体"/>
          <w:sz w:val="24"/>
        </w:rPr>
      </w:pPr>
    </w:p>
    <w:p>
      <w:pPr>
        <w:spacing w:line="274" w:lineRule="exact"/>
        <w:ind w:right="100"/>
        <w:jc w:val="center"/>
        <w:rPr>
          <w:rFonts w:ascii="宋体" w:hAnsi="宋体" w:eastAsia="宋体"/>
          <w:sz w:val="24"/>
        </w:rPr>
      </w:pPr>
      <w:r>
        <w:rPr>
          <w:rFonts w:ascii="宋体" w:hAnsi="宋体" w:eastAsia="宋体"/>
          <w:sz w:val="24"/>
        </w:rPr>
        <w:t>—10—</w:t>
      </w:r>
    </w:p>
    <w:p>
      <w:pPr>
        <w:spacing w:line="274" w:lineRule="exact"/>
        <w:ind w:right="100"/>
        <w:jc w:val="both"/>
        <w:rPr>
          <w:rFonts w:ascii="宋体" w:hAnsi="宋体" w:eastAsia="宋体"/>
          <w:sz w:val="24"/>
        </w:rPr>
        <w:sectPr>
          <w:pgSz w:w="11900" w:h="16838"/>
          <w:pgMar w:top="1304" w:right="1106" w:bottom="1304" w:left="1200" w:header="0" w:footer="0" w:gutter="0"/>
          <w:pgBorders>
            <w:top w:val="none" w:sz="0" w:space="0"/>
            <w:left w:val="none" w:sz="0" w:space="0"/>
            <w:bottom w:val="none" w:sz="0" w:space="0"/>
            <w:right w:val="none" w:sz="0" w:space="0"/>
          </w:pgBorders>
          <w:cols w:space="720" w:num="1"/>
          <w:rtlGutter w:val="0"/>
          <w:docGrid w:linePitch="360" w:charSpace="0"/>
        </w:sectPr>
      </w:pPr>
    </w:p>
    <w:tbl>
      <w:tblPr>
        <w:tblStyle w:val="7"/>
        <w:tblW w:w="9322" w:type="dxa"/>
        <w:tblInd w:w="0" w:type="dxa"/>
        <w:shd w:val="clear" w:color="auto" w:fill="auto"/>
        <w:tblLayout w:type="fixed"/>
        <w:tblCellMar>
          <w:top w:w="0" w:type="dxa"/>
          <w:left w:w="0" w:type="dxa"/>
          <w:bottom w:w="0" w:type="dxa"/>
          <w:right w:w="0" w:type="dxa"/>
        </w:tblCellMar>
      </w:tblPr>
      <w:tblGrid>
        <w:gridCol w:w="1430"/>
        <w:gridCol w:w="1728"/>
        <w:gridCol w:w="578"/>
        <w:gridCol w:w="480"/>
        <w:gridCol w:w="1162"/>
        <w:gridCol w:w="592"/>
        <w:gridCol w:w="529"/>
        <w:gridCol w:w="2181"/>
        <w:gridCol w:w="642"/>
      </w:tblGrid>
      <w:tr>
        <w:tblPrEx>
          <w:shd w:val="clear" w:color="auto" w:fill="auto"/>
          <w:tblLayout w:type="fixed"/>
          <w:tblCellMar>
            <w:top w:w="0" w:type="dxa"/>
            <w:left w:w="0" w:type="dxa"/>
            <w:bottom w:w="0" w:type="dxa"/>
            <w:right w:w="0" w:type="dxa"/>
          </w:tblCellMar>
        </w:tblPrEx>
        <w:trPr>
          <w:trHeight w:val="312" w:hRule="atLeast"/>
        </w:trPr>
        <w:tc>
          <w:tcPr>
            <w:tcW w:w="9322"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1"/>
                <w:szCs w:val="21"/>
                <w:u w:val="none"/>
              </w:rPr>
            </w:pPr>
            <w:bookmarkStart w:id="5" w:name="page16"/>
            <w:bookmarkEnd w:id="5"/>
            <w:r>
              <w:rPr>
                <w:rFonts w:hint="eastAsia" w:ascii="宋体" w:hAnsi="宋体" w:eastAsia="宋体" w:cs="宋体"/>
                <w:i w:val="0"/>
                <w:color w:val="000000"/>
                <w:kern w:val="0"/>
                <w:sz w:val="24"/>
                <w:szCs w:val="24"/>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12" w:hRule="atLeast"/>
        </w:trPr>
        <w:tc>
          <w:tcPr>
            <w:tcW w:w="14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72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7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4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1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9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82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Layout w:type="fixed"/>
          <w:tblCellMar>
            <w:top w:w="0" w:type="dxa"/>
            <w:left w:w="0" w:type="dxa"/>
            <w:bottom w:w="0" w:type="dxa"/>
            <w:right w:w="0" w:type="dxa"/>
          </w:tblCellMar>
        </w:tblPrEx>
        <w:trPr>
          <w:trHeight w:val="312" w:hRule="atLeast"/>
        </w:trPr>
        <w:tc>
          <w:tcPr>
            <w:tcW w:w="315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部门：南宫市卫生监督所</w:t>
            </w:r>
          </w:p>
        </w:tc>
        <w:tc>
          <w:tcPr>
            <w:tcW w:w="57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4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1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9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52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282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12" w:hRule="atLeast"/>
        </w:trPr>
        <w:tc>
          <w:tcPr>
            <w:tcW w:w="3736"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5586"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72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7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4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1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52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18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6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44.49</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40.83</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25.77</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国内债务付息</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国外债务付息</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手续费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房屋建筑物购建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11.15</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办公设备购置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7.26</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专用设备购置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基础设施建设</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取暖费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大型修缮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信息网络及软件购置更新</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物资储备</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因公出国（境）费用</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土地补偿</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安置补助</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地上附着物和青苗补偿</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20.02</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拆迁补偿</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20.02</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其他交通工具购置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专用材料费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文物和陈列品购置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被装购置费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无形资产购置</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专用燃料费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其他资本性支出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劳务费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22.44</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委托业务费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赠与</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国家赔偿费用支出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对民间非营利组织和群众性自治组织补贴</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税金及附加费用</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12" w:hRule="atLeast"/>
        </w:trPr>
        <w:tc>
          <w:tcPr>
            <w:tcW w:w="143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2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16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5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2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12" w:hRule="atLeast"/>
        </w:trPr>
        <w:tc>
          <w:tcPr>
            <w:tcW w:w="3158"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5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64.51</w:t>
            </w:r>
          </w:p>
        </w:tc>
        <w:tc>
          <w:tcPr>
            <w:tcW w:w="4944"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6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40.83</w:t>
            </w:r>
          </w:p>
        </w:tc>
      </w:tr>
      <w:tr>
        <w:tblPrEx>
          <w:tblLayout w:type="fixed"/>
          <w:tblCellMar>
            <w:top w:w="0" w:type="dxa"/>
            <w:left w:w="0" w:type="dxa"/>
            <w:bottom w:w="0" w:type="dxa"/>
            <w:right w:w="0" w:type="dxa"/>
          </w:tblCellMar>
        </w:tblPrEx>
        <w:trPr>
          <w:trHeight w:val="312" w:hRule="atLeast"/>
        </w:trPr>
        <w:tc>
          <w:tcPr>
            <w:tcW w:w="932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w:t>
            </w:r>
          </w:p>
        </w:tc>
      </w:tr>
    </w:tbl>
    <w:p>
      <w:pPr>
        <w:spacing w:line="200" w:lineRule="exact"/>
        <w:jc w:val="both"/>
        <w:rPr>
          <w:rFonts w:ascii="Times New Roman" w:hAnsi="Times New Roman" w:eastAsia="Times New Roman"/>
        </w:rPr>
      </w:pPr>
    </w:p>
    <w:p>
      <w:pPr>
        <w:spacing w:line="274" w:lineRule="exact"/>
        <w:ind w:right="100"/>
        <w:jc w:val="center"/>
        <w:rPr>
          <w:rFonts w:ascii="宋体" w:hAnsi="宋体" w:eastAsia="宋体"/>
          <w:sz w:val="24"/>
        </w:rPr>
      </w:pPr>
    </w:p>
    <w:p>
      <w:pPr>
        <w:spacing w:line="274" w:lineRule="exact"/>
        <w:ind w:right="100"/>
        <w:jc w:val="center"/>
        <w:rPr>
          <w:rFonts w:ascii="宋体" w:hAnsi="宋体" w:eastAsia="宋体"/>
          <w:sz w:val="24"/>
        </w:rPr>
      </w:pPr>
      <w:r>
        <w:rPr>
          <w:rFonts w:ascii="宋体" w:hAnsi="宋体" w:eastAsia="宋体"/>
          <w:sz w:val="24"/>
        </w:rPr>
        <w:t>—11—</w:t>
      </w:r>
    </w:p>
    <w:p>
      <w:pPr>
        <w:spacing w:line="274" w:lineRule="exact"/>
        <w:ind w:right="100"/>
        <w:jc w:val="both"/>
        <w:rPr>
          <w:rFonts w:ascii="宋体" w:hAnsi="宋体" w:eastAsia="宋体"/>
          <w:sz w:val="24"/>
        </w:rPr>
        <w:sectPr>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p>
      <w:pPr>
        <w:spacing w:line="200" w:lineRule="exact"/>
        <w:jc w:val="both"/>
        <w:rPr>
          <w:rFonts w:ascii="Times New Roman" w:hAnsi="Times New Roman" w:eastAsia="Times New Roman"/>
        </w:rPr>
      </w:pPr>
      <w:bookmarkStart w:id="6" w:name="page17"/>
      <w:bookmarkEnd w:id="6"/>
    </w:p>
    <w:tbl>
      <w:tblPr>
        <w:tblStyle w:val="7"/>
        <w:tblW w:w="9322" w:type="dxa"/>
        <w:tblInd w:w="0" w:type="dxa"/>
        <w:shd w:val="clear" w:color="auto" w:fill="auto"/>
        <w:tblLayout w:type="fixed"/>
        <w:tblCellMar>
          <w:top w:w="0" w:type="dxa"/>
          <w:left w:w="0" w:type="dxa"/>
          <w:bottom w:w="0" w:type="dxa"/>
          <w:right w:w="0" w:type="dxa"/>
        </w:tblCellMar>
      </w:tblPr>
      <w:tblGrid>
        <w:gridCol w:w="1846"/>
        <w:gridCol w:w="690"/>
        <w:gridCol w:w="612"/>
        <w:gridCol w:w="613"/>
        <w:gridCol w:w="613"/>
        <w:gridCol w:w="613"/>
        <w:gridCol w:w="613"/>
        <w:gridCol w:w="690"/>
        <w:gridCol w:w="613"/>
        <w:gridCol w:w="614"/>
        <w:gridCol w:w="615"/>
        <w:gridCol w:w="1190"/>
      </w:tblGrid>
      <w:tr>
        <w:tblPrEx>
          <w:shd w:val="clear" w:color="auto" w:fill="auto"/>
          <w:tblLayout w:type="fixed"/>
          <w:tblCellMar>
            <w:top w:w="0" w:type="dxa"/>
            <w:left w:w="0" w:type="dxa"/>
            <w:bottom w:w="0" w:type="dxa"/>
            <w:right w:w="0" w:type="dxa"/>
          </w:tblCellMar>
        </w:tblPrEx>
        <w:trPr>
          <w:trHeight w:val="567" w:hRule="atLeast"/>
        </w:trPr>
        <w:tc>
          <w:tcPr>
            <w:tcW w:w="9322"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Layout w:type="fixed"/>
          <w:tblCellMar>
            <w:top w:w="0" w:type="dxa"/>
            <w:left w:w="0" w:type="dxa"/>
            <w:bottom w:w="0" w:type="dxa"/>
            <w:right w:w="0" w:type="dxa"/>
          </w:tblCellMar>
        </w:tblPrEx>
        <w:trPr>
          <w:trHeight w:val="567" w:hRule="atLeast"/>
        </w:trPr>
        <w:tc>
          <w:tcPr>
            <w:tcW w:w="18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trHeight w:val="567" w:hRule="atLeast"/>
        </w:trPr>
        <w:tc>
          <w:tcPr>
            <w:tcW w:w="3148"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部门：南宫市卫生监督所</w:t>
            </w: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567" w:hRule="atLeast"/>
        </w:trPr>
        <w:tc>
          <w:tcPr>
            <w:tcW w:w="4987"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335"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567" w:hRule="atLeast"/>
        </w:trPr>
        <w:tc>
          <w:tcPr>
            <w:tcW w:w="1846"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83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1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61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84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567" w:hRule="atLeast"/>
        </w:trPr>
        <w:tc>
          <w:tcPr>
            <w:tcW w:w="184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1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6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184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567" w:hRule="atLeast"/>
        </w:trPr>
        <w:tc>
          <w:tcPr>
            <w:tcW w:w="184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567" w:hRule="atLeast"/>
        </w:trPr>
        <w:tc>
          <w:tcPr>
            <w:tcW w:w="932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部门本年度无相关支出情况，按要求以空表列示。</w:t>
            </w:r>
          </w:p>
        </w:tc>
      </w:tr>
    </w:tbl>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63" w:lineRule="exact"/>
        <w:ind w:right="60"/>
        <w:jc w:val="center"/>
        <w:rPr>
          <w:rFonts w:ascii="宋体" w:hAnsi="宋体" w:eastAsia="宋体"/>
          <w:sz w:val="23"/>
        </w:rPr>
      </w:pPr>
      <w:r>
        <w:rPr>
          <w:rFonts w:ascii="宋体" w:hAnsi="宋体" w:eastAsia="宋体"/>
          <w:sz w:val="23"/>
        </w:rPr>
        <w:t>—12—</w:t>
      </w:r>
    </w:p>
    <w:p>
      <w:pPr>
        <w:spacing w:line="263" w:lineRule="exact"/>
        <w:ind w:right="60"/>
        <w:jc w:val="both"/>
        <w:rPr>
          <w:rFonts w:ascii="宋体" w:hAnsi="宋体" w:eastAsia="宋体"/>
          <w:sz w:val="23"/>
        </w:rPr>
        <w:sectPr>
          <w:type w:val="continuous"/>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p>
      <w:pPr>
        <w:spacing w:line="200" w:lineRule="exact"/>
        <w:jc w:val="both"/>
        <w:rPr>
          <w:rFonts w:ascii="Times New Roman" w:hAnsi="Times New Roman" w:eastAsia="Times New Roman"/>
        </w:rPr>
      </w:pPr>
      <w:bookmarkStart w:id="7" w:name="page18"/>
      <w:bookmarkEnd w:id="7"/>
    </w:p>
    <w:p>
      <w:pPr>
        <w:spacing w:line="200" w:lineRule="exact"/>
        <w:jc w:val="both"/>
        <w:rPr>
          <w:rFonts w:ascii="Times New Roman" w:hAnsi="Times New Roman" w:eastAsia="Times New Roman"/>
        </w:rPr>
      </w:pPr>
    </w:p>
    <w:tbl>
      <w:tblPr>
        <w:tblStyle w:val="7"/>
        <w:tblW w:w="9322" w:type="dxa"/>
        <w:tblInd w:w="0" w:type="dxa"/>
        <w:shd w:val="clear" w:color="auto" w:fill="auto"/>
        <w:tblLayout w:type="fixed"/>
        <w:tblCellMar>
          <w:top w:w="0" w:type="dxa"/>
          <w:left w:w="0" w:type="dxa"/>
          <w:bottom w:w="0" w:type="dxa"/>
          <w:right w:w="0" w:type="dxa"/>
        </w:tblCellMar>
      </w:tblPr>
      <w:tblGrid>
        <w:gridCol w:w="1937"/>
        <w:gridCol w:w="290"/>
        <w:gridCol w:w="290"/>
        <w:gridCol w:w="927"/>
        <w:gridCol w:w="927"/>
        <w:gridCol w:w="927"/>
        <w:gridCol w:w="927"/>
        <w:gridCol w:w="927"/>
        <w:gridCol w:w="927"/>
        <w:gridCol w:w="1243"/>
      </w:tblGrid>
      <w:tr>
        <w:tblPrEx>
          <w:shd w:val="clear" w:color="auto" w:fill="auto"/>
          <w:tblLayout w:type="fixed"/>
          <w:tblCellMar>
            <w:top w:w="0" w:type="dxa"/>
            <w:left w:w="0" w:type="dxa"/>
            <w:bottom w:w="0" w:type="dxa"/>
            <w:right w:w="0" w:type="dxa"/>
          </w:tblCellMar>
        </w:tblPrEx>
        <w:trPr>
          <w:trHeight w:val="567" w:hRule="atLeast"/>
        </w:trPr>
        <w:tc>
          <w:tcPr>
            <w:tcW w:w="9322"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567" w:hRule="atLeast"/>
        </w:trPr>
        <w:tc>
          <w:tcPr>
            <w:tcW w:w="19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部门：南宫市卫生监督所</w:t>
            </w: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7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567" w:hRule="atLeast"/>
        </w:trPr>
        <w:tc>
          <w:tcPr>
            <w:tcW w:w="3444"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781"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2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567" w:hRule="atLeast"/>
        </w:trPr>
        <w:tc>
          <w:tcPr>
            <w:tcW w:w="2517"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92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344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567" w:hRule="atLeast"/>
        </w:trPr>
        <w:tc>
          <w:tcPr>
            <w:tcW w:w="3444"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251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7" w:hRule="atLeast"/>
        </w:trPr>
        <w:tc>
          <w:tcPr>
            <w:tcW w:w="9322" w:type="dxa"/>
            <w:gridSpan w:val="10"/>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注：本表反映部门本年度政府性基金预算财政拨款收入、支出及结转和结余情况。本部门本年度无收支及结转结余情况，按要求以空表列示。</w:t>
            </w:r>
          </w:p>
        </w:tc>
      </w:tr>
    </w:tbl>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63" w:lineRule="exact"/>
        <w:ind w:right="-19"/>
        <w:jc w:val="center"/>
        <w:rPr>
          <w:rFonts w:ascii="宋体" w:hAnsi="宋体" w:eastAsia="宋体"/>
          <w:sz w:val="23"/>
        </w:rPr>
      </w:pPr>
      <w:r>
        <w:rPr>
          <w:rFonts w:ascii="宋体" w:hAnsi="宋体" w:eastAsia="宋体"/>
          <w:sz w:val="23"/>
        </w:rPr>
        <w:t>—13—</w:t>
      </w:r>
    </w:p>
    <w:p>
      <w:pPr>
        <w:spacing w:line="263" w:lineRule="exact"/>
        <w:ind w:right="-19"/>
        <w:jc w:val="both"/>
        <w:rPr>
          <w:rFonts w:ascii="宋体" w:hAnsi="宋体" w:eastAsia="宋体"/>
          <w:sz w:val="23"/>
        </w:rPr>
        <w:sectPr>
          <w:type w:val="continuous"/>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p>
      <w:pPr>
        <w:spacing w:line="200" w:lineRule="exact"/>
        <w:jc w:val="both"/>
        <w:rPr>
          <w:rFonts w:ascii="Times New Roman" w:hAnsi="Times New Roman" w:eastAsia="Times New Roman"/>
        </w:rPr>
      </w:pPr>
      <w:bookmarkStart w:id="8" w:name="page19"/>
      <w:bookmarkEnd w:id="8"/>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tbl>
      <w:tblPr>
        <w:tblStyle w:val="7"/>
        <w:tblW w:w="9322" w:type="dxa"/>
        <w:tblInd w:w="0" w:type="dxa"/>
        <w:shd w:val="clear" w:color="auto" w:fill="auto"/>
        <w:tblLayout w:type="fixed"/>
        <w:tblCellMar>
          <w:top w:w="0" w:type="dxa"/>
          <w:left w:w="0" w:type="dxa"/>
          <w:bottom w:w="0" w:type="dxa"/>
          <w:right w:w="0" w:type="dxa"/>
        </w:tblCellMar>
      </w:tblPr>
      <w:tblGrid>
        <w:gridCol w:w="2205"/>
        <w:gridCol w:w="482"/>
        <w:gridCol w:w="482"/>
        <w:gridCol w:w="2501"/>
        <w:gridCol w:w="1021"/>
        <w:gridCol w:w="1121"/>
        <w:gridCol w:w="1510"/>
      </w:tblGrid>
      <w:tr>
        <w:tblPrEx>
          <w:shd w:val="clear" w:color="auto" w:fill="auto"/>
          <w:tblLayout w:type="fixed"/>
          <w:tblCellMar>
            <w:top w:w="0" w:type="dxa"/>
            <w:left w:w="0" w:type="dxa"/>
            <w:bottom w:w="0" w:type="dxa"/>
            <w:right w:w="0" w:type="dxa"/>
          </w:tblCellMar>
        </w:tblPrEx>
        <w:trPr>
          <w:trHeight w:val="390" w:hRule="atLeast"/>
        </w:trPr>
        <w:tc>
          <w:tcPr>
            <w:tcW w:w="9322"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Layout w:type="fixed"/>
          <w:tblCellMar>
            <w:top w:w="0" w:type="dxa"/>
            <w:left w:w="0" w:type="dxa"/>
            <w:bottom w:w="0" w:type="dxa"/>
            <w:right w:w="0" w:type="dxa"/>
          </w:tblCellMar>
        </w:tblPrEx>
        <w:trPr>
          <w:trHeight w:val="255" w:hRule="atLeast"/>
        </w:trPr>
        <w:tc>
          <w:tcPr>
            <w:tcW w:w="22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Layout w:type="fixed"/>
          <w:tblCellMar>
            <w:top w:w="0" w:type="dxa"/>
            <w:left w:w="0" w:type="dxa"/>
            <w:bottom w:w="0" w:type="dxa"/>
            <w:right w:w="0" w:type="dxa"/>
          </w:tblCellMar>
        </w:tblPrEx>
        <w:trPr>
          <w:trHeight w:val="255" w:hRule="atLeast"/>
        </w:trPr>
        <w:tc>
          <w:tcPr>
            <w:tcW w:w="3169"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编制单位：南宫市卫生监督所</w:t>
            </w:r>
          </w:p>
        </w:tc>
        <w:tc>
          <w:tcPr>
            <w:tcW w:w="250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1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670"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3652"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554" w:hRule="atLeast"/>
        </w:trPr>
        <w:tc>
          <w:tcPr>
            <w:tcW w:w="3169" w:type="dxa"/>
            <w:gridSpan w:val="3"/>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5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2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308" w:hRule="atLeast"/>
        </w:trPr>
        <w:tc>
          <w:tcPr>
            <w:tcW w:w="5670"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2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5670"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16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23" w:hRule="atLeast"/>
        </w:trPr>
        <w:tc>
          <w:tcPr>
            <w:tcW w:w="9322"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注：本表反映部门本年度国有资本经营预算财政拨款支出情况。本部门本年度无相关支出情况，按要求以空表列示。</w:t>
            </w:r>
          </w:p>
        </w:tc>
      </w:tr>
    </w:tbl>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00" w:lineRule="exact"/>
        <w:jc w:val="center"/>
        <w:rPr>
          <w:rFonts w:ascii="Times New Roman" w:hAnsi="Times New Roman" w:eastAsia="Times New Roman"/>
        </w:rPr>
      </w:pPr>
    </w:p>
    <w:p>
      <w:pPr>
        <w:spacing w:line="274" w:lineRule="exact"/>
        <w:ind w:right="120"/>
        <w:jc w:val="center"/>
        <w:rPr>
          <w:rFonts w:ascii="宋体" w:hAnsi="宋体" w:eastAsia="宋体"/>
          <w:sz w:val="24"/>
        </w:rPr>
      </w:pPr>
      <w:r>
        <w:rPr>
          <w:rFonts w:ascii="宋体" w:hAnsi="宋体" w:eastAsia="宋体"/>
          <w:sz w:val="24"/>
        </w:rPr>
        <w:t>—14—</w:t>
      </w:r>
    </w:p>
    <w:p>
      <w:pPr>
        <w:spacing w:line="274" w:lineRule="exact"/>
        <w:ind w:right="120"/>
        <w:jc w:val="both"/>
        <w:rPr>
          <w:rFonts w:ascii="宋体" w:hAnsi="宋体" w:eastAsia="宋体"/>
          <w:sz w:val="24"/>
        </w:rPr>
        <w:sectPr>
          <w:pgSz w:w="11900" w:h="16838"/>
          <w:pgMar w:top="1304" w:right="1304" w:bottom="1304" w:left="1304" w:header="0" w:footer="0" w:gutter="0"/>
          <w:pgBorders>
            <w:top w:val="none" w:sz="0" w:space="0"/>
            <w:left w:val="none" w:sz="0" w:space="0"/>
            <w:bottom w:val="none" w:sz="0" w:space="0"/>
            <w:right w:val="none" w:sz="0" w:space="0"/>
          </w:pgBorders>
          <w:cols w:space="0" w:num="1"/>
          <w:rtlGutter w:val="0"/>
          <w:docGrid w:linePitch="360" w:charSpace="0"/>
        </w:sectPr>
      </w:pPr>
    </w:p>
    <w:p>
      <w:pPr>
        <w:spacing w:line="200" w:lineRule="exact"/>
        <w:jc w:val="center"/>
        <w:rPr>
          <w:rFonts w:ascii="Times New Roman" w:hAnsi="Times New Roman" w:eastAsia="Times New Roman"/>
        </w:rPr>
      </w:pPr>
      <w:bookmarkStart w:id="9" w:name="page20"/>
      <w:bookmarkEnd w:id="9"/>
    </w:p>
    <w:p>
      <w:pPr>
        <w:spacing w:line="200" w:lineRule="exact"/>
        <w:jc w:val="both"/>
        <w:rPr>
          <w:rFonts w:ascii="Times New Roman" w:hAnsi="Times New Roman" w:eastAsia="Times New Roman"/>
        </w:rPr>
      </w:pPr>
    </w:p>
    <w:tbl>
      <w:tblPr>
        <w:tblStyle w:val="7"/>
        <w:tblW w:w="8143" w:type="dxa"/>
        <w:tblInd w:w="0" w:type="dxa"/>
        <w:shd w:val="clear" w:color="auto" w:fill="auto"/>
        <w:tblLayout w:type="fixed"/>
        <w:tblCellMar>
          <w:top w:w="0" w:type="dxa"/>
          <w:left w:w="0" w:type="dxa"/>
          <w:bottom w:w="0" w:type="dxa"/>
          <w:right w:w="0" w:type="dxa"/>
        </w:tblCellMar>
      </w:tblPr>
      <w:tblGrid>
        <w:gridCol w:w="1360"/>
        <w:gridCol w:w="966"/>
        <w:gridCol w:w="800"/>
        <w:gridCol w:w="917"/>
        <w:gridCol w:w="1983"/>
        <w:gridCol w:w="1117"/>
        <w:gridCol w:w="1000"/>
      </w:tblGrid>
      <w:tr>
        <w:tblPrEx>
          <w:shd w:val="clear" w:color="auto" w:fill="auto"/>
          <w:tblLayout w:type="fixed"/>
          <w:tblCellMar>
            <w:top w:w="0" w:type="dxa"/>
            <w:left w:w="0" w:type="dxa"/>
            <w:bottom w:w="0" w:type="dxa"/>
            <w:right w:w="0" w:type="dxa"/>
          </w:tblCellMar>
        </w:tblPrEx>
        <w:trPr>
          <w:trHeight w:val="454" w:hRule="atLeast"/>
        </w:trPr>
        <w:tc>
          <w:tcPr>
            <w:tcW w:w="8143"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政府采购情况表</w:t>
            </w:r>
          </w:p>
        </w:tc>
      </w:tr>
      <w:tr>
        <w:tblPrEx>
          <w:tblLayout w:type="fixed"/>
          <w:tblCellMar>
            <w:top w:w="0" w:type="dxa"/>
            <w:left w:w="0" w:type="dxa"/>
            <w:bottom w:w="0" w:type="dxa"/>
            <w:right w:w="0" w:type="dxa"/>
          </w:tblCellMar>
        </w:tblPrEx>
        <w:trPr>
          <w:trHeight w:val="454" w:hRule="atLeast"/>
        </w:trPr>
        <w:tc>
          <w:tcPr>
            <w:tcW w:w="13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Layout w:type="fixed"/>
          <w:tblCellMar>
            <w:top w:w="0" w:type="dxa"/>
            <w:left w:w="0" w:type="dxa"/>
            <w:bottom w:w="0" w:type="dxa"/>
            <w:right w:w="0" w:type="dxa"/>
          </w:tblCellMar>
        </w:tblPrEx>
        <w:trPr>
          <w:trHeight w:val="454" w:hRule="atLeast"/>
        </w:trPr>
        <w:tc>
          <w:tcPr>
            <w:tcW w:w="3126"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编制单位：南宫市卫生监督所</w:t>
            </w:r>
          </w:p>
        </w:tc>
        <w:tc>
          <w:tcPr>
            <w:tcW w:w="9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17"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454" w:hRule="atLeast"/>
        </w:trPr>
        <w:tc>
          <w:tcPr>
            <w:tcW w:w="1360" w:type="dxa"/>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83"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采购计划金额</w:t>
            </w:r>
          </w:p>
        </w:tc>
      </w:tr>
      <w:tr>
        <w:tblPrEx>
          <w:tblLayout w:type="fixed"/>
          <w:tblCellMar>
            <w:top w:w="0" w:type="dxa"/>
            <w:left w:w="0" w:type="dxa"/>
            <w:bottom w:w="0" w:type="dxa"/>
            <w:right w:w="0" w:type="dxa"/>
          </w:tblCellMar>
        </w:tblPrEx>
        <w:trPr>
          <w:trHeight w:val="454"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4817"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0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Layout w:type="fixed"/>
          <w:tblCellMar>
            <w:top w:w="0" w:type="dxa"/>
            <w:left w:w="0" w:type="dxa"/>
            <w:bottom w:w="0" w:type="dxa"/>
            <w:right w:w="0" w:type="dxa"/>
          </w:tblCellMar>
        </w:tblPrEx>
        <w:trPr>
          <w:trHeight w:val="454"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9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1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0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8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83" w:type="dxa"/>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实际采购金额</w:t>
            </w:r>
          </w:p>
        </w:tc>
      </w:tr>
      <w:tr>
        <w:tblPrEx>
          <w:tblLayout w:type="fixed"/>
          <w:tblCellMar>
            <w:top w:w="0" w:type="dxa"/>
            <w:left w:w="0" w:type="dxa"/>
            <w:bottom w:w="0" w:type="dxa"/>
            <w:right w:w="0" w:type="dxa"/>
          </w:tblCellMar>
        </w:tblPrEx>
        <w:trPr>
          <w:trHeight w:val="454" w:hRule="atLeast"/>
        </w:trPr>
        <w:tc>
          <w:tcPr>
            <w:tcW w:w="1360"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4817" w:type="dxa"/>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0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Layout w:type="fixed"/>
          <w:tblCellMar>
            <w:top w:w="0" w:type="dxa"/>
            <w:left w:w="0" w:type="dxa"/>
            <w:bottom w:w="0" w:type="dxa"/>
            <w:right w:w="0" w:type="dxa"/>
          </w:tblCellMar>
        </w:tblPrEx>
        <w:trPr>
          <w:trHeight w:val="454" w:hRule="atLeast"/>
        </w:trPr>
        <w:tc>
          <w:tcPr>
            <w:tcW w:w="1360"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98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1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0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1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8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1360"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454" w:hRule="atLeast"/>
        </w:trPr>
        <w:tc>
          <w:tcPr>
            <w:tcW w:w="8143"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注：本表反映部门本年度纳入部门预算范围的政府采购预算及支出情况。本部门本年度无预算及支出情况，按要求以空表列示。</w:t>
            </w:r>
          </w:p>
        </w:tc>
      </w:tr>
    </w:tbl>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ascii="宋体" w:hAnsi="宋体" w:eastAsia="宋体"/>
          <w:sz w:val="24"/>
        </w:rPr>
      </w:pPr>
    </w:p>
    <w:p>
      <w:pPr>
        <w:spacing w:line="274" w:lineRule="exact"/>
        <w:ind w:right="220"/>
        <w:jc w:val="center"/>
        <w:rPr>
          <w:rFonts w:hint="eastAsia" w:ascii="宋体" w:hAnsi="宋体" w:eastAsia="宋体" w:cs="Arial"/>
          <w:sz w:val="32"/>
          <w:szCs w:val="2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宋体" w:hAnsi="宋体" w:eastAsia="宋体"/>
          <w:sz w:val="24"/>
        </w:rPr>
        <w:t>—15—</w:t>
      </w:r>
    </w:p>
    <w:p>
      <w:pPr>
        <w:spacing w:after="0" w:line="620" w:lineRule="exact"/>
        <w:ind w:right="92" w:rightChars="0"/>
        <w:jc w:val="center"/>
        <w:rPr>
          <w:rFonts w:hint="eastAsia" w:ascii="微软雅黑" w:hAnsi="微软雅黑" w:eastAsia="微软雅黑" w:cs="微软雅黑"/>
          <w:position w:val="1"/>
          <w:sz w:val="44"/>
          <w:szCs w:val="44"/>
          <w:lang w:eastAsia="zh-CN"/>
        </w:rPr>
      </w:pPr>
      <w:r>
        <w:rPr>
          <w:rFonts w:hint="eastAsia" w:ascii="微软雅黑" w:hAnsi="微软雅黑" w:eastAsia="微软雅黑" w:cs="微软雅黑"/>
          <w:position w:val="1"/>
          <w:sz w:val="44"/>
          <w:szCs w:val="44"/>
          <w:lang w:eastAsia="zh-CN"/>
        </w:rPr>
        <w:t>南宫市卫生监督所</w:t>
      </w:r>
    </w:p>
    <w:p>
      <w:pPr>
        <w:spacing w:after="0" w:line="620" w:lineRule="exact"/>
        <w:ind w:right="92" w:rightChars="0"/>
        <w:jc w:val="center"/>
        <w:rPr>
          <w:rFonts w:ascii="微软雅黑" w:hAnsi="微软雅黑" w:eastAsia="微软雅黑" w:cs="微软雅黑"/>
          <w:sz w:val="44"/>
          <w:szCs w:val="44"/>
        </w:rPr>
      </w:pPr>
      <w:r>
        <w:rPr>
          <w:rFonts w:ascii="微软雅黑" w:hAnsi="微软雅黑" w:eastAsia="微软雅黑" w:cs="微软雅黑"/>
          <w:sz w:val="44"/>
          <w:szCs w:val="44"/>
        </w:rPr>
        <w:t>部门决算情况说明</w:t>
      </w:r>
    </w:p>
    <w:p>
      <w:pPr>
        <w:spacing w:line="366" w:lineRule="exact"/>
        <w:jc w:val="center"/>
        <w:rPr>
          <w:rFonts w:ascii="黑体" w:hAnsi="黑体" w:eastAsia="黑体"/>
          <w:sz w:val="32"/>
        </w:rPr>
      </w:pPr>
    </w:p>
    <w:p>
      <w:pPr>
        <w:spacing w:line="366" w:lineRule="exact"/>
        <w:ind w:left="0" w:leftChars="0" w:firstLine="562" w:firstLineChars="200"/>
        <w:rPr>
          <w:rFonts w:hint="eastAsia" w:ascii="宋体" w:hAnsi="宋体" w:eastAsia="宋体" w:cs="宋体"/>
          <w:b/>
          <w:bCs/>
          <w:sz w:val="28"/>
          <w:szCs w:val="21"/>
        </w:rPr>
      </w:pPr>
      <w:r>
        <w:rPr>
          <w:rFonts w:hint="eastAsia" w:ascii="宋体" w:hAnsi="宋体" w:eastAsia="宋体" w:cs="宋体"/>
          <w:b/>
          <w:bCs/>
          <w:sz w:val="28"/>
          <w:szCs w:val="21"/>
        </w:rPr>
        <w:t>一、收入支出决算总体情况说明</w:t>
      </w:r>
    </w:p>
    <w:p>
      <w:pPr>
        <w:spacing w:line="366" w:lineRule="exact"/>
        <w:ind w:left="0" w:leftChars="0" w:firstLine="0" w:firstLineChars="0"/>
        <w:rPr>
          <w:rFonts w:hint="eastAsia" w:ascii="宋体" w:hAnsi="宋体" w:eastAsia="宋体" w:cs="宋体"/>
          <w:sz w:val="28"/>
          <w:szCs w:val="21"/>
        </w:rPr>
      </w:pPr>
    </w:p>
    <w:p>
      <w:pPr>
        <w:keepNext w:val="0"/>
        <w:keepLines w:val="0"/>
        <w:pageBreakBefore w:val="0"/>
        <w:widowControl/>
        <w:kinsoku/>
        <w:wordWrap/>
        <w:overflowPunct/>
        <w:topLinePunct w:val="0"/>
        <w:autoSpaceDE/>
        <w:autoSpaceDN/>
        <w:bidi w:val="0"/>
        <w:adjustRightInd/>
        <w:snapToGrid/>
        <w:spacing w:line="366" w:lineRule="exact"/>
        <w:ind w:left="0" w:leftChars="0" w:firstLine="560" w:firstLineChars="200"/>
        <w:textAlignment w:val="auto"/>
        <w:rPr>
          <w:rFonts w:hint="eastAsia" w:ascii="宋体" w:hAnsi="宋体" w:eastAsia="宋体" w:cs="宋体"/>
          <w:sz w:val="28"/>
          <w:szCs w:val="21"/>
        </w:rPr>
      </w:pPr>
      <w:r>
        <w:rPr>
          <w:rFonts w:hint="eastAsia" w:ascii="宋体" w:hAnsi="宋体" w:eastAsia="宋体" w:cs="宋体"/>
          <w:sz w:val="28"/>
          <w:szCs w:val="21"/>
        </w:rPr>
        <w:t>本部门 2018 年度收支总计（含结转和结余）</w:t>
      </w:r>
      <w:r>
        <w:rPr>
          <w:rFonts w:hint="eastAsia" w:ascii="宋体" w:hAnsi="宋体" w:eastAsia="宋体" w:cs="宋体"/>
          <w:sz w:val="28"/>
          <w:szCs w:val="21"/>
          <w:lang w:val="en-US" w:eastAsia="zh-CN"/>
        </w:rPr>
        <w:t>107.24</w:t>
      </w:r>
      <w:r>
        <w:rPr>
          <w:rFonts w:hint="eastAsia" w:ascii="宋体" w:hAnsi="宋体" w:eastAsia="宋体" w:cs="宋体"/>
          <w:sz w:val="28"/>
          <w:szCs w:val="21"/>
        </w:rPr>
        <w:t>万元。</w:t>
      </w:r>
    </w:p>
    <w:p>
      <w:pPr>
        <w:keepNext w:val="0"/>
        <w:keepLines w:val="0"/>
        <w:pageBreakBefore w:val="0"/>
        <w:widowControl/>
        <w:kinsoku/>
        <w:wordWrap/>
        <w:overflowPunct/>
        <w:topLinePunct w:val="0"/>
        <w:autoSpaceDE/>
        <w:autoSpaceDN/>
        <w:bidi w:val="0"/>
        <w:adjustRightInd/>
        <w:snapToGrid/>
        <w:spacing w:line="366" w:lineRule="exact"/>
        <w:ind w:left="0" w:leftChars="0" w:firstLine="560" w:firstLineChars="200"/>
        <w:textAlignment w:val="auto"/>
        <w:rPr>
          <w:rFonts w:hint="eastAsia" w:ascii="宋体" w:hAnsi="宋体" w:eastAsia="宋体" w:cs="宋体"/>
          <w:sz w:val="28"/>
          <w:szCs w:val="21"/>
          <w:lang w:eastAsia="zh-CN"/>
        </w:rPr>
      </w:pPr>
      <w:r>
        <w:rPr>
          <w:rFonts w:hint="eastAsia" w:ascii="宋体" w:hAnsi="宋体" w:eastAsia="宋体" w:cs="宋体"/>
          <w:sz w:val="28"/>
          <w:szCs w:val="21"/>
          <w:lang w:eastAsia="zh-CN"/>
        </w:rPr>
        <w:t>与</w:t>
      </w:r>
      <w:r>
        <w:rPr>
          <w:rFonts w:hint="eastAsia" w:ascii="宋体" w:hAnsi="宋体" w:eastAsia="宋体" w:cs="宋体"/>
          <w:sz w:val="28"/>
          <w:szCs w:val="21"/>
        </w:rPr>
        <w:t>2017 年度决算相比，收支</w:t>
      </w:r>
      <w:r>
        <w:rPr>
          <w:rFonts w:hint="eastAsia" w:ascii="宋体" w:hAnsi="宋体" w:eastAsia="宋体" w:cs="宋体"/>
          <w:sz w:val="28"/>
          <w:szCs w:val="21"/>
          <w:lang w:eastAsia="zh-CN"/>
        </w:rPr>
        <w:t>各减少了</w:t>
      </w:r>
      <w:r>
        <w:rPr>
          <w:rFonts w:hint="eastAsia" w:ascii="宋体" w:hAnsi="宋体" w:eastAsia="宋体" w:cs="宋体"/>
          <w:sz w:val="28"/>
          <w:szCs w:val="21"/>
          <w:lang w:val="en-US" w:eastAsia="zh-CN"/>
        </w:rPr>
        <w:t>51.3</w:t>
      </w:r>
      <w:r>
        <w:rPr>
          <w:rFonts w:hint="eastAsia" w:ascii="宋体" w:hAnsi="宋体" w:eastAsia="宋体" w:cs="宋体"/>
          <w:sz w:val="28"/>
          <w:szCs w:val="21"/>
        </w:rPr>
        <w:t xml:space="preserve"> 万元，</w:t>
      </w:r>
      <w:r>
        <w:rPr>
          <w:rFonts w:hint="eastAsia" w:ascii="宋体" w:hAnsi="宋体" w:eastAsia="宋体" w:cs="宋体"/>
          <w:sz w:val="28"/>
          <w:szCs w:val="21"/>
          <w:lang w:eastAsia="zh-CN"/>
        </w:rPr>
        <w:t>减少</w:t>
      </w:r>
      <w:r>
        <w:rPr>
          <w:rFonts w:hint="eastAsia" w:ascii="宋体" w:hAnsi="宋体" w:eastAsia="宋体" w:cs="宋体"/>
          <w:sz w:val="28"/>
          <w:szCs w:val="21"/>
          <w:lang w:val="en-US" w:eastAsia="zh-CN"/>
        </w:rPr>
        <w:t>32.35</w:t>
      </w:r>
      <w:r>
        <w:rPr>
          <w:rFonts w:hint="eastAsia" w:ascii="宋体" w:hAnsi="宋体" w:eastAsia="宋体" w:cs="宋体"/>
          <w:sz w:val="28"/>
          <w:szCs w:val="21"/>
        </w:rPr>
        <w:t>%，主要原因是财政拨款收入有所减少</w:t>
      </w:r>
      <w:r>
        <w:rPr>
          <w:rFonts w:hint="eastAsia" w:ascii="宋体" w:hAnsi="宋体" w:eastAsia="宋体" w:cs="宋体"/>
          <w:sz w:val="28"/>
          <w:szCs w:val="21"/>
          <w:lang w:eastAsia="zh-CN"/>
        </w:rPr>
        <w:t>。</w:t>
      </w:r>
    </w:p>
    <w:p>
      <w:pPr>
        <w:spacing w:line="366" w:lineRule="exact"/>
        <w:ind w:left="0" w:leftChars="0" w:firstLine="0" w:firstLineChars="0"/>
        <w:rPr>
          <w:rFonts w:hint="eastAsia" w:ascii="宋体" w:hAnsi="宋体" w:eastAsia="宋体" w:cs="宋体"/>
          <w:sz w:val="28"/>
          <w:szCs w:val="21"/>
          <w:lang w:eastAsia="zh-CN"/>
        </w:rPr>
      </w:pPr>
    </w:p>
    <w:p>
      <w:pPr>
        <w:spacing w:line="366" w:lineRule="exact"/>
        <w:ind w:left="0" w:leftChars="0" w:firstLine="562" w:firstLineChars="200"/>
        <w:rPr>
          <w:rFonts w:hint="eastAsia" w:ascii="宋体" w:hAnsi="宋体" w:eastAsia="宋体" w:cs="宋体"/>
          <w:b/>
          <w:bCs/>
          <w:sz w:val="28"/>
          <w:szCs w:val="21"/>
        </w:rPr>
      </w:pPr>
      <w:r>
        <w:rPr>
          <w:rFonts w:hint="eastAsia" w:ascii="宋体" w:hAnsi="宋体" w:eastAsia="宋体" w:cs="宋体"/>
          <w:b/>
          <w:bCs/>
          <w:sz w:val="28"/>
          <w:szCs w:val="21"/>
        </w:rPr>
        <w:t>二、收入决算情况说明</w:t>
      </w:r>
    </w:p>
    <w:p>
      <w:pPr>
        <w:spacing w:line="366" w:lineRule="exact"/>
        <w:ind w:left="0" w:leftChars="0" w:firstLine="0" w:firstLineChars="0"/>
        <w:rPr>
          <w:rFonts w:hint="eastAsia" w:ascii="宋体" w:hAnsi="宋体" w:eastAsia="宋体" w:cs="宋体"/>
          <w:sz w:val="28"/>
          <w:szCs w:val="21"/>
        </w:rPr>
      </w:pPr>
    </w:p>
    <w:p>
      <w:pPr>
        <w:spacing w:line="366" w:lineRule="exact"/>
        <w:ind w:left="0" w:leftChars="0" w:firstLine="0" w:firstLineChars="0"/>
        <w:rPr>
          <w:rFonts w:hint="eastAsia" w:ascii="宋体" w:hAnsi="宋体" w:eastAsia="宋体" w:cs="宋体"/>
          <w:sz w:val="28"/>
          <w:szCs w:val="21"/>
        </w:rPr>
      </w:pPr>
      <w:r>
        <w:rPr>
          <w:rFonts w:hint="eastAsia" w:ascii="宋体" w:hAnsi="宋体" w:eastAsia="宋体" w:cs="宋体"/>
          <w:sz w:val="28"/>
          <w:szCs w:val="21"/>
        </w:rPr>
        <w:t>本部门 2018 年度本年收入合计</w:t>
      </w:r>
      <w:r>
        <w:rPr>
          <w:rFonts w:hint="eastAsia" w:ascii="宋体" w:hAnsi="宋体" w:eastAsia="宋体" w:cs="宋体"/>
          <w:sz w:val="28"/>
          <w:szCs w:val="21"/>
          <w:lang w:val="en-US" w:eastAsia="zh-CN"/>
        </w:rPr>
        <w:t>107.24</w:t>
      </w:r>
      <w:r>
        <w:rPr>
          <w:rFonts w:hint="eastAsia" w:ascii="宋体" w:hAnsi="宋体" w:eastAsia="宋体" w:cs="宋体"/>
          <w:sz w:val="28"/>
          <w:szCs w:val="21"/>
        </w:rPr>
        <w:t xml:space="preserve"> 万元，其中：财政拨款收入 </w:t>
      </w:r>
      <w:r>
        <w:rPr>
          <w:rFonts w:hint="eastAsia" w:ascii="宋体" w:hAnsi="宋体" w:eastAsia="宋体" w:cs="宋体"/>
          <w:sz w:val="28"/>
          <w:szCs w:val="21"/>
          <w:lang w:val="en-US" w:eastAsia="zh-CN"/>
        </w:rPr>
        <w:t>107.24</w:t>
      </w:r>
      <w:r>
        <w:rPr>
          <w:rFonts w:hint="eastAsia" w:ascii="宋体" w:hAnsi="宋体" w:eastAsia="宋体" w:cs="宋体"/>
          <w:sz w:val="28"/>
          <w:szCs w:val="21"/>
        </w:rPr>
        <w:t xml:space="preserve">万元，占 </w:t>
      </w:r>
      <w:r>
        <w:rPr>
          <w:rFonts w:hint="eastAsia" w:ascii="宋体" w:hAnsi="宋体" w:eastAsia="宋体" w:cs="宋体"/>
          <w:sz w:val="28"/>
          <w:szCs w:val="21"/>
          <w:lang w:val="en-US" w:eastAsia="zh-CN"/>
        </w:rPr>
        <w:t>100</w:t>
      </w:r>
      <w:r>
        <w:rPr>
          <w:rFonts w:hint="eastAsia" w:ascii="宋体" w:hAnsi="宋体" w:eastAsia="宋体" w:cs="宋体"/>
          <w:sz w:val="28"/>
          <w:szCs w:val="21"/>
        </w:rPr>
        <w:t xml:space="preserve">%；事业收入 </w:t>
      </w:r>
      <w:r>
        <w:rPr>
          <w:rFonts w:hint="eastAsia" w:ascii="宋体" w:hAnsi="宋体" w:eastAsia="宋体" w:cs="宋体"/>
          <w:sz w:val="28"/>
          <w:szCs w:val="21"/>
          <w:lang w:val="en-US" w:eastAsia="zh-CN"/>
        </w:rPr>
        <w:t>0</w:t>
      </w:r>
      <w:r>
        <w:rPr>
          <w:rFonts w:hint="eastAsia" w:ascii="宋体" w:hAnsi="宋体" w:eastAsia="宋体" w:cs="宋体"/>
          <w:sz w:val="28"/>
          <w:szCs w:val="21"/>
        </w:rPr>
        <w:t>万元，占</w:t>
      </w:r>
      <w:r>
        <w:rPr>
          <w:rFonts w:hint="eastAsia" w:ascii="宋体" w:hAnsi="宋体" w:eastAsia="宋体" w:cs="宋体"/>
          <w:sz w:val="28"/>
          <w:szCs w:val="21"/>
          <w:lang w:val="en-US" w:eastAsia="zh-CN"/>
        </w:rPr>
        <w:t>0</w:t>
      </w:r>
      <w:r>
        <w:rPr>
          <w:rFonts w:hint="eastAsia" w:ascii="宋体" w:hAnsi="宋体" w:eastAsia="宋体" w:cs="宋体"/>
          <w:sz w:val="28"/>
          <w:szCs w:val="21"/>
        </w:rPr>
        <w:t xml:space="preserve">%；其他收入 </w:t>
      </w:r>
      <w:r>
        <w:rPr>
          <w:rFonts w:hint="eastAsia" w:ascii="宋体" w:hAnsi="宋体" w:eastAsia="宋体" w:cs="宋体"/>
          <w:sz w:val="28"/>
          <w:szCs w:val="21"/>
          <w:lang w:val="en-US" w:eastAsia="zh-CN"/>
        </w:rPr>
        <w:t>0</w:t>
      </w:r>
      <w:r>
        <w:rPr>
          <w:rFonts w:hint="eastAsia" w:ascii="宋体" w:hAnsi="宋体" w:eastAsia="宋体" w:cs="宋体"/>
          <w:sz w:val="28"/>
          <w:szCs w:val="21"/>
        </w:rPr>
        <w:t xml:space="preserve">万元，占 </w:t>
      </w:r>
      <w:r>
        <w:rPr>
          <w:rFonts w:hint="eastAsia" w:ascii="宋体" w:hAnsi="宋体" w:eastAsia="宋体" w:cs="宋体"/>
          <w:sz w:val="28"/>
          <w:szCs w:val="21"/>
          <w:lang w:val="en-US" w:eastAsia="zh-CN"/>
        </w:rPr>
        <w:t>0</w:t>
      </w:r>
      <w:r>
        <w:rPr>
          <w:rFonts w:hint="eastAsia" w:ascii="宋体" w:hAnsi="宋体" w:eastAsia="宋体" w:cs="宋体"/>
          <w:sz w:val="28"/>
          <w:szCs w:val="21"/>
        </w:rPr>
        <w:t>%。如图所示：</w:t>
      </w:r>
    </w:p>
    <w:p>
      <w:pPr>
        <w:spacing w:line="366" w:lineRule="exact"/>
        <w:ind w:left="0" w:leftChars="0" w:firstLine="0" w:firstLineChars="0"/>
        <w:rPr>
          <w:rFonts w:ascii="黑体" w:hAnsi="黑体" w:eastAsia="黑体" w:cs="Arial"/>
          <w:sz w:val="32"/>
          <w:szCs w:val="22"/>
        </w:rPr>
      </w:pPr>
      <w:r>
        <w:rPr>
          <w:rFonts w:ascii="黑体" w:hAnsi="黑体" w:eastAsia="黑体" w:cs="Arial"/>
          <w:sz w:val="32"/>
          <w:szCs w:val="22"/>
        </w:rPr>
        <w:drawing>
          <wp:anchor distT="0" distB="0" distL="114300" distR="114300" simplePos="0" relativeHeight="251713536" behindDoc="0" locked="0" layoutInCell="1" allowOverlap="1">
            <wp:simplePos x="0" y="0"/>
            <wp:positionH relativeFrom="column">
              <wp:posOffset>1746250</wp:posOffset>
            </wp:positionH>
            <wp:positionV relativeFrom="paragraph">
              <wp:posOffset>24765</wp:posOffset>
            </wp:positionV>
            <wp:extent cx="2455545" cy="1981200"/>
            <wp:effectExtent l="0" t="0" r="1905" b="0"/>
            <wp:wrapTopAndBottom/>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5"/>
                    <a:stretch>
                      <a:fillRect/>
                    </a:stretch>
                  </pic:blipFill>
                  <pic:spPr>
                    <a:xfrm>
                      <a:off x="0" y="0"/>
                      <a:ext cx="2455545" cy="1981200"/>
                    </a:xfrm>
                    <a:prstGeom prst="rect">
                      <a:avLst/>
                    </a:prstGeom>
                    <a:noFill/>
                    <a:ln>
                      <a:noFill/>
                    </a:ln>
                  </pic:spPr>
                </pic:pic>
              </a:graphicData>
            </a:graphic>
          </wp:anchor>
        </w:drawing>
      </w:r>
    </w:p>
    <w:p>
      <w:pPr>
        <w:pStyle w:val="2"/>
        <w:spacing w:line="366" w:lineRule="exact"/>
        <w:ind w:left="0" w:leftChars="0" w:firstLine="0" w:firstLineChars="0"/>
        <w:jc w:val="center"/>
        <w:rPr>
          <w:rFonts w:hint="eastAsia" w:ascii="黑体" w:hAnsi="黑体" w:eastAsia="Calibri" w:cs="Arial"/>
          <w:sz w:val="32"/>
          <w:szCs w:val="22"/>
          <w:lang w:eastAsia="zh-CN"/>
        </w:rPr>
      </w:pPr>
      <w:r>
        <w:t xml:space="preserve">图 </w:t>
      </w:r>
      <w:r>
        <w:fldChar w:fldCharType="begin"/>
      </w:r>
      <w:r>
        <w:instrText xml:space="preserve"> SEQ 图 \* ARABIC </w:instrText>
      </w:r>
      <w:r>
        <w:fldChar w:fldCharType="separate"/>
      </w:r>
      <w:r>
        <w:t>1</w:t>
      </w:r>
      <w:r>
        <w:fldChar w:fldCharType="end"/>
      </w:r>
      <w:r>
        <w:rPr>
          <w:rFonts w:hint="eastAsia"/>
          <w:lang w:eastAsia="zh-CN"/>
        </w:rPr>
        <w:t>收入构成情况</w:t>
      </w:r>
    </w:p>
    <w:p>
      <w:pPr>
        <w:spacing w:line="366" w:lineRule="exact"/>
        <w:ind w:left="0" w:leftChars="0" w:firstLine="0" w:firstLineChars="0"/>
        <w:rPr>
          <w:rFonts w:ascii="黑体" w:hAnsi="黑体" w:eastAsia="黑体" w:cs="Arial"/>
          <w:sz w:val="32"/>
          <w:szCs w:val="22"/>
        </w:rPr>
      </w:pPr>
    </w:p>
    <w:p>
      <w:pPr>
        <w:numPr>
          <w:ilvl w:val="0"/>
          <w:numId w:val="1"/>
        </w:numPr>
        <w:spacing w:line="478" w:lineRule="exact"/>
        <w:ind w:left="14" w:leftChars="7" w:right="160" w:firstLine="512" w:firstLineChars="182"/>
        <w:jc w:val="both"/>
        <w:rPr>
          <w:rFonts w:hint="eastAsia" w:ascii="宋体" w:hAnsi="宋体" w:eastAsia="宋体" w:cs="宋体"/>
          <w:b/>
          <w:bCs/>
          <w:sz w:val="28"/>
          <w:szCs w:val="18"/>
        </w:rPr>
      </w:pPr>
      <w:r>
        <w:rPr>
          <w:rFonts w:hint="eastAsia" w:ascii="宋体" w:hAnsi="宋体" w:eastAsia="宋体" w:cs="宋体"/>
          <w:b/>
          <w:bCs/>
          <w:sz w:val="28"/>
          <w:szCs w:val="18"/>
        </w:rPr>
        <w:t>支出决算情况说明</w:t>
      </w:r>
    </w:p>
    <w:p>
      <w:pPr>
        <w:numPr>
          <w:ilvl w:val="0"/>
          <w:numId w:val="0"/>
        </w:numPr>
        <w:spacing w:line="478" w:lineRule="exact"/>
        <w:ind w:leftChars="-5" w:right="160" w:rightChars="0"/>
        <w:jc w:val="both"/>
        <w:rPr>
          <w:rFonts w:hint="eastAsia" w:ascii="宋体" w:hAnsi="宋体" w:eastAsia="宋体" w:cs="宋体"/>
          <w:sz w:val="28"/>
          <w:szCs w:val="18"/>
        </w:rPr>
      </w:pPr>
    </w:p>
    <w:p>
      <w:pPr>
        <w:spacing w:line="478" w:lineRule="exact"/>
        <w:ind w:left="14" w:leftChars="0" w:right="160" w:hanging="14" w:hangingChars="5"/>
        <w:jc w:val="both"/>
        <w:rPr>
          <w:rFonts w:hint="eastAsia" w:ascii="宋体" w:hAnsi="宋体" w:eastAsia="宋体" w:cs="宋体"/>
          <w:sz w:val="28"/>
          <w:szCs w:val="21"/>
        </w:rPr>
      </w:pPr>
      <w:r>
        <w:rPr>
          <w:rFonts w:hint="eastAsia" w:ascii="宋体" w:hAnsi="宋体" w:eastAsia="宋体" w:cs="宋体"/>
          <w:sz w:val="28"/>
          <w:szCs w:val="21"/>
        </w:rPr>
        <w:t>本部门 2018 年度本年支出合计</w:t>
      </w:r>
      <w:r>
        <w:rPr>
          <w:rFonts w:hint="eastAsia" w:ascii="宋体" w:hAnsi="宋体" w:eastAsia="宋体" w:cs="宋体"/>
          <w:sz w:val="28"/>
          <w:szCs w:val="21"/>
          <w:lang w:val="en-US" w:eastAsia="zh-CN"/>
        </w:rPr>
        <w:t>105.33</w:t>
      </w:r>
      <w:r>
        <w:rPr>
          <w:rFonts w:hint="eastAsia" w:ascii="宋体" w:hAnsi="宋体" w:eastAsia="宋体" w:cs="宋体"/>
          <w:sz w:val="28"/>
          <w:szCs w:val="21"/>
        </w:rPr>
        <w:t xml:space="preserve">万元，其中：基本支出 </w:t>
      </w:r>
      <w:r>
        <w:rPr>
          <w:rFonts w:hint="eastAsia" w:ascii="宋体" w:hAnsi="宋体" w:eastAsia="宋体" w:cs="宋体"/>
          <w:sz w:val="28"/>
          <w:szCs w:val="21"/>
          <w:lang w:val="en-US" w:eastAsia="zh-CN"/>
        </w:rPr>
        <w:t>105.33</w:t>
      </w:r>
      <w:r>
        <w:rPr>
          <w:rFonts w:hint="eastAsia" w:ascii="宋体" w:hAnsi="宋体" w:eastAsia="宋体" w:cs="宋体"/>
          <w:sz w:val="28"/>
          <w:szCs w:val="21"/>
        </w:rPr>
        <w:t xml:space="preserve"> 万元，占 </w:t>
      </w:r>
      <w:r>
        <w:rPr>
          <w:rFonts w:hint="eastAsia" w:ascii="宋体" w:hAnsi="宋体" w:eastAsia="宋体" w:cs="宋体"/>
          <w:sz w:val="28"/>
          <w:szCs w:val="21"/>
          <w:lang w:val="en-US" w:eastAsia="zh-CN"/>
        </w:rPr>
        <w:t>100</w:t>
      </w:r>
      <w:r>
        <w:rPr>
          <w:rFonts w:hint="eastAsia" w:ascii="宋体" w:hAnsi="宋体" w:eastAsia="宋体" w:cs="宋体"/>
          <w:sz w:val="28"/>
          <w:szCs w:val="21"/>
        </w:rPr>
        <w:t xml:space="preserve">%；项目支出 </w:t>
      </w:r>
      <w:r>
        <w:rPr>
          <w:rFonts w:hint="eastAsia" w:ascii="宋体" w:hAnsi="宋体" w:eastAsia="宋体" w:cs="宋体"/>
          <w:sz w:val="28"/>
          <w:szCs w:val="21"/>
          <w:lang w:val="en-US" w:eastAsia="zh-CN"/>
        </w:rPr>
        <w:t>0</w:t>
      </w:r>
      <w:r>
        <w:rPr>
          <w:rFonts w:hint="eastAsia" w:ascii="宋体" w:hAnsi="宋体" w:eastAsia="宋体" w:cs="宋体"/>
          <w:sz w:val="28"/>
          <w:szCs w:val="21"/>
        </w:rPr>
        <w:t>万元，占</w:t>
      </w:r>
      <w:r>
        <w:rPr>
          <w:rFonts w:hint="eastAsia" w:ascii="宋体" w:hAnsi="宋体" w:eastAsia="宋体" w:cs="宋体"/>
          <w:sz w:val="28"/>
          <w:szCs w:val="21"/>
          <w:lang w:val="en-US" w:eastAsia="zh-CN"/>
        </w:rPr>
        <w:t>0</w:t>
      </w:r>
      <w:r>
        <w:rPr>
          <w:rFonts w:hint="eastAsia" w:ascii="宋体" w:hAnsi="宋体" w:eastAsia="宋体" w:cs="宋体"/>
          <w:sz w:val="28"/>
          <w:szCs w:val="21"/>
        </w:rPr>
        <w:t xml:space="preserve">%；上缴上级支出 </w:t>
      </w:r>
      <w:r>
        <w:rPr>
          <w:rFonts w:hint="eastAsia" w:ascii="宋体" w:hAnsi="宋体" w:eastAsia="宋体" w:cs="宋体"/>
          <w:sz w:val="28"/>
          <w:szCs w:val="21"/>
          <w:lang w:val="en-US" w:eastAsia="zh-CN"/>
        </w:rPr>
        <w:t>0</w:t>
      </w:r>
      <w:r>
        <w:rPr>
          <w:rFonts w:hint="eastAsia" w:ascii="宋体" w:hAnsi="宋体" w:eastAsia="宋体" w:cs="宋体"/>
          <w:sz w:val="28"/>
          <w:szCs w:val="21"/>
        </w:rPr>
        <w:t>万元，占</w:t>
      </w:r>
      <w:r>
        <w:rPr>
          <w:rFonts w:hint="eastAsia" w:ascii="宋体" w:hAnsi="宋体" w:eastAsia="宋体" w:cs="宋体"/>
          <w:sz w:val="28"/>
          <w:szCs w:val="21"/>
          <w:lang w:val="en-US" w:eastAsia="zh-CN"/>
        </w:rPr>
        <w:t>0</w:t>
      </w:r>
      <w:r>
        <w:rPr>
          <w:rFonts w:hint="eastAsia" w:ascii="宋体" w:hAnsi="宋体" w:eastAsia="宋体" w:cs="宋体"/>
          <w:sz w:val="28"/>
          <w:szCs w:val="21"/>
        </w:rPr>
        <w:t>%。如图所示：</w:t>
      </w:r>
    </w:p>
    <w:p>
      <w:pPr>
        <w:spacing w:line="478" w:lineRule="exact"/>
        <w:ind w:left="15" w:leftChars="0" w:right="160" w:hanging="15" w:hangingChars="5"/>
        <w:jc w:val="both"/>
        <w:rPr>
          <w:rFonts w:hint="eastAsia" w:ascii="宋体" w:hAnsi="宋体" w:eastAsia="宋体" w:cs="宋体"/>
          <w:sz w:val="31"/>
          <w:szCs w:val="22"/>
        </w:rPr>
      </w:pPr>
    </w:p>
    <w:p>
      <w:pPr>
        <w:spacing w:line="478" w:lineRule="exact"/>
        <w:ind w:left="15" w:leftChars="0" w:right="160" w:hanging="15" w:hangingChars="5"/>
        <w:jc w:val="both"/>
        <w:rPr>
          <w:rFonts w:ascii="Arial" w:hAnsi="Arial" w:eastAsia="Arial"/>
          <w:sz w:val="31"/>
          <w:szCs w:val="22"/>
        </w:rPr>
      </w:pPr>
    </w:p>
    <w:p>
      <w:pPr>
        <w:spacing w:line="478" w:lineRule="exact"/>
        <w:ind w:left="15" w:leftChars="0" w:right="160" w:hanging="15" w:hangingChars="5"/>
        <w:jc w:val="both"/>
        <w:rPr>
          <w:rFonts w:ascii="Arial" w:hAnsi="Arial" w:eastAsia="Arial"/>
          <w:sz w:val="31"/>
          <w:szCs w:val="22"/>
        </w:rPr>
      </w:pPr>
    </w:p>
    <w:p>
      <w:pPr>
        <w:spacing w:line="478" w:lineRule="exact"/>
        <w:ind w:left="15" w:leftChars="0" w:right="160" w:hanging="15" w:hangingChars="5"/>
        <w:jc w:val="both"/>
        <w:rPr>
          <w:rFonts w:ascii="Arial" w:hAnsi="Arial" w:eastAsia="Arial"/>
          <w:sz w:val="31"/>
          <w:szCs w:val="22"/>
        </w:rPr>
      </w:pPr>
    </w:p>
    <w:p>
      <w:pPr>
        <w:spacing w:line="274" w:lineRule="exact"/>
        <w:ind w:right="140"/>
        <w:jc w:val="center"/>
        <w:rPr>
          <w:rFonts w:ascii="宋体" w:hAnsi="宋体" w:eastAsia="宋体"/>
          <w:sz w:val="24"/>
        </w:rPr>
      </w:pPr>
    </w:p>
    <w:p>
      <w:pPr>
        <w:spacing w:line="478" w:lineRule="exact"/>
        <w:ind w:left="15" w:leftChars="0" w:right="160" w:hanging="15" w:hangingChars="5"/>
        <w:jc w:val="both"/>
        <w:rPr>
          <w:rFonts w:ascii="Arial" w:hAnsi="Arial" w:eastAsia="Arial"/>
          <w:sz w:val="31"/>
          <w:szCs w:val="22"/>
        </w:rPr>
      </w:pPr>
    </w:p>
    <w:p>
      <w:pPr>
        <w:spacing w:line="279" w:lineRule="exact"/>
        <w:ind w:left="10" w:leftChars="0" w:hanging="10" w:hangingChars="5"/>
        <w:jc w:val="both"/>
      </w:pPr>
      <w:r>
        <w:drawing>
          <wp:anchor distT="0" distB="0" distL="114300" distR="114300" simplePos="0" relativeHeight="251714560" behindDoc="0" locked="0" layoutInCell="1" allowOverlap="1">
            <wp:simplePos x="0" y="0"/>
            <wp:positionH relativeFrom="column">
              <wp:posOffset>1538605</wp:posOffset>
            </wp:positionH>
            <wp:positionV relativeFrom="paragraph">
              <wp:posOffset>36830</wp:posOffset>
            </wp:positionV>
            <wp:extent cx="2341245" cy="1911985"/>
            <wp:effectExtent l="4445" t="4445" r="16510" b="7620"/>
            <wp:wrapTopAndBottom/>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spacing w:line="279" w:lineRule="exact"/>
        <w:ind w:left="10" w:leftChars="0" w:hanging="10" w:hangingChars="5"/>
        <w:jc w:val="center"/>
        <w:rPr>
          <w:rFonts w:hint="eastAsia"/>
          <w:lang w:eastAsia="zh-CN"/>
        </w:rPr>
      </w:pPr>
      <w:r>
        <w:t xml:space="preserve">图 </w:t>
      </w:r>
      <w:r>
        <w:fldChar w:fldCharType="begin"/>
      </w:r>
      <w:r>
        <w:instrText xml:space="preserve"> SEQ 图 \* ARABIC </w:instrText>
      </w:r>
      <w:r>
        <w:fldChar w:fldCharType="separate"/>
      </w:r>
      <w:r>
        <w:t>2</w:t>
      </w:r>
      <w:r>
        <w:fldChar w:fldCharType="end"/>
      </w:r>
      <w:r>
        <w:rPr>
          <w:rFonts w:hint="eastAsia"/>
          <w:lang w:eastAsia="zh-CN"/>
        </w:rPr>
        <w:t>支出情况</w:t>
      </w:r>
    </w:p>
    <w:p>
      <w:pPr>
        <w:rPr>
          <w:rFonts w:hint="eastAsia"/>
          <w:lang w:eastAsia="zh-CN"/>
        </w:rPr>
      </w:pPr>
    </w:p>
    <w:p>
      <w:pPr>
        <w:spacing w:line="366" w:lineRule="exact"/>
        <w:ind w:left="0" w:leftChars="0" w:firstLine="601" w:firstLineChars="187"/>
        <w:jc w:val="both"/>
        <w:rPr>
          <w:rFonts w:hint="eastAsia" w:ascii="宋体" w:hAnsi="宋体" w:eastAsia="宋体" w:cs="宋体"/>
          <w:b/>
          <w:bCs/>
          <w:sz w:val="32"/>
        </w:rPr>
      </w:pPr>
      <w:r>
        <w:rPr>
          <w:rFonts w:hint="eastAsia" w:ascii="宋体" w:hAnsi="宋体" w:eastAsia="宋体" w:cs="宋体"/>
          <w:b/>
          <w:bCs/>
          <w:sz w:val="32"/>
        </w:rPr>
        <w:t>四、财政拨款收入支出决算情况说明</w:t>
      </w:r>
    </w:p>
    <w:p>
      <w:pPr>
        <w:spacing w:line="245" w:lineRule="exact"/>
        <w:jc w:val="both"/>
        <w:rPr>
          <w:rFonts w:hint="eastAsia" w:ascii="宋体" w:hAnsi="宋体" w:eastAsia="宋体" w:cs="宋体"/>
          <w:highlight w:val="none"/>
        </w:rPr>
      </w:pPr>
    </w:p>
    <w:p>
      <w:pPr>
        <w:spacing w:line="366" w:lineRule="exact"/>
        <w:ind w:left="600" w:leftChars="300" w:firstLine="39" w:firstLineChars="12"/>
        <w:jc w:val="both"/>
        <w:rPr>
          <w:rFonts w:hint="eastAsia" w:ascii="宋体" w:hAnsi="宋体" w:eastAsia="宋体" w:cs="宋体"/>
          <w:b/>
          <w:sz w:val="32"/>
          <w:highlight w:val="none"/>
        </w:rPr>
      </w:pPr>
      <w:r>
        <w:rPr>
          <w:rFonts w:hint="eastAsia" w:ascii="宋体" w:hAnsi="宋体" w:eastAsia="宋体" w:cs="宋体"/>
          <w:b/>
          <w:sz w:val="32"/>
          <w:highlight w:val="none"/>
        </w:rPr>
        <w:t>（一）财政拨款收支与 2017 年度决算对比情况</w:t>
      </w:r>
    </w:p>
    <w:p>
      <w:pPr>
        <w:spacing w:line="210" w:lineRule="exact"/>
        <w:jc w:val="both"/>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60" w:lineRule="auto"/>
        <w:ind w:left="800" w:leftChars="0" w:firstLine="0" w:firstLineChars="0"/>
        <w:jc w:val="both"/>
        <w:textAlignment w:val="auto"/>
        <w:rPr>
          <w:rFonts w:ascii="宋体" w:hAnsi="宋体" w:eastAsia="宋体"/>
          <w:sz w:val="28"/>
          <w:szCs w:val="28"/>
          <w:highlight w:val="none"/>
        </w:rPr>
      </w:pPr>
      <w:r>
        <w:rPr>
          <w:rFonts w:hint="eastAsia" w:ascii="宋体" w:hAnsi="宋体" w:eastAsia="宋体" w:cs="宋体"/>
          <w:sz w:val="28"/>
          <w:szCs w:val="28"/>
          <w:highlight w:val="none"/>
        </w:rPr>
        <w:t xml:space="preserve">本部门 2018 年度形成的财政拨款收支均为一般公共预算财政拨款，其中一般公共预算财政拨款本年收入 </w:t>
      </w:r>
      <w:r>
        <w:rPr>
          <w:rFonts w:hint="eastAsia" w:ascii="宋体" w:hAnsi="宋体" w:eastAsia="宋体" w:cs="宋体"/>
          <w:sz w:val="28"/>
          <w:szCs w:val="28"/>
          <w:highlight w:val="none"/>
          <w:lang w:val="en-US" w:eastAsia="zh-CN"/>
        </w:rPr>
        <w:t>107.24</w:t>
      </w:r>
      <w:r>
        <w:rPr>
          <w:rFonts w:hint="eastAsia" w:ascii="宋体" w:hAnsi="宋体" w:eastAsia="宋体" w:cs="宋体"/>
          <w:sz w:val="28"/>
          <w:szCs w:val="28"/>
          <w:highlight w:val="none"/>
        </w:rPr>
        <w:t>万元,比2017 年度</w:t>
      </w:r>
      <w:r>
        <w:rPr>
          <w:rFonts w:hint="eastAsia" w:ascii="宋体" w:hAnsi="宋体" w:eastAsia="宋体" w:cs="宋体"/>
          <w:sz w:val="28"/>
          <w:szCs w:val="28"/>
          <w:highlight w:val="none"/>
          <w:lang w:eastAsia="zh-CN"/>
        </w:rPr>
        <w:t>减少</w:t>
      </w:r>
      <w:r>
        <w:rPr>
          <w:rFonts w:hint="eastAsia" w:ascii="宋体" w:hAnsi="宋体" w:eastAsia="宋体" w:cs="宋体"/>
          <w:sz w:val="28"/>
          <w:szCs w:val="28"/>
          <w:highlight w:val="none"/>
          <w:lang w:val="en-US" w:eastAsia="zh-CN"/>
        </w:rPr>
        <w:t>51.3</w:t>
      </w:r>
      <w:r>
        <w:rPr>
          <w:rFonts w:hint="eastAsia" w:ascii="宋体" w:hAnsi="宋体" w:eastAsia="宋体" w:cs="宋体"/>
          <w:sz w:val="28"/>
          <w:szCs w:val="28"/>
          <w:highlight w:val="none"/>
        </w:rPr>
        <w:t>万元，</w:t>
      </w:r>
      <w:r>
        <w:rPr>
          <w:rFonts w:hint="eastAsia" w:ascii="宋体" w:hAnsi="宋体" w:eastAsia="宋体" w:cs="宋体"/>
          <w:sz w:val="28"/>
          <w:szCs w:val="28"/>
          <w:highlight w:val="none"/>
          <w:lang w:eastAsia="zh-CN"/>
        </w:rPr>
        <w:t>较少</w:t>
      </w:r>
      <w:r>
        <w:rPr>
          <w:rFonts w:hint="eastAsia" w:ascii="宋体" w:hAnsi="宋体" w:eastAsia="宋体" w:cs="宋体"/>
          <w:sz w:val="28"/>
          <w:szCs w:val="28"/>
          <w:highlight w:val="none"/>
          <w:lang w:val="en-US" w:eastAsia="zh-CN"/>
        </w:rPr>
        <w:t>32.35</w:t>
      </w:r>
      <w:r>
        <w:rPr>
          <w:rFonts w:hint="eastAsia" w:ascii="宋体" w:hAnsi="宋体" w:eastAsia="宋体" w:cs="宋体"/>
          <w:sz w:val="28"/>
          <w:szCs w:val="28"/>
          <w:highlight w:val="none"/>
        </w:rPr>
        <w:t>%，主要是</w:t>
      </w:r>
      <w:r>
        <w:rPr>
          <w:rFonts w:hint="eastAsia" w:ascii="宋体" w:hAnsi="宋体" w:eastAsia="宋体" w:cs="宋体"/>
          <w:sz w:val="28"/>
          <w:szCs w:val="28"/>
          <w:highlight w:val="none"/>
          <w:lang w:eastAsia="zh-CN"/>
        </w:rPr>
        <w:t>退休人员工资不再经本部门发放，</w:t>
      </w:r>
      <w:r>
        <w:rPr>
          <w:rFonts w:hint="eastAsia" w:ascii="宋体" w:hAnsi="宋体" w:eastAsia="宋体" w:cs="宋体"/>
          <w:sz w:val="28"/>
          <w:szCs w:val="28"/>
          <w:highlight w:val="none"/>
        </w:rPr>
        <w:t xml:space="preserve">本年支出 </w:t>
      </w:r>
      <w:r>
        <w:rPr>
          <w:rFonts w:hint="eastAsia" w:ascii="宋体" w:hAnsi="宋体" w:eastAsia="宋体" w:cs="宋体"/>
          <w:sz w:val="28"/>
          <w:szCs w:val="28"/>
          <w:highlight w:val="none"/>
          <w:lang w:val="en-US" w:eastAsia="zh-CN"/>
        </w:rPr>
        <w:t>105.33</w:t>
      </w:r>
      <w:r>
        <w:rPr>
          <w:rFonts w:hint="eastAsia" w:ascii="宋体" w:hAnsi="宋体" w:eastAsia="宋体" w:cs="宋体"/>
          <w:sz w:val="28"/>
          <w:szCs w:val="28"/>
          <w:highlight w:val="none"/>
        </w:rPr>
        <w:t>万元，</w:t>
      </w:r>
      <w:r>
        <w:rPr>
          <w:rFonts w:hint="eastAsia" w:ascii="宋体" w:hAnsi="宋体" w:eastAsia="宋体" w:cs="宋体"/>
          <w:sz w:val="28"/>
          <w:szCs w:val="28"/>
          <w:highlight w:val="none"/>
          <w:lang w:eastAsia="zh-CN"/>
        </w:rPr>
        <w:t>减少</w:t>
      </w:r>
      <w:r>
        <w:rPr>
          <w:rFonts w:hint="eastAsia" w:ascii="宋体" w:hAnsi="宋体" w:eastAsia="宋体" w:cs="宋体"/>
          <w:sz w:val="28"/>
          <w:szCs w:val="28"/>
          <w:highlight w:val="none"/>
          <w:lang w:val="en-US" w:eastAsia="zh-CN"/>
        </w:rPr>
        <w:t>53.21</w:t>
      </w:r>
      <w:r>
        <w:rPr>
          <w:rFonts w:hint="eastAsia" w:ascii="宋体" w:hAnsi="宋体" w:eastAsia="宋体" w:cs="宋体"/>
          <w:sz w:val="28"/>
          <w:szCs w:val="28"/>
          <w:highlight w:val="none"/>
        </w:rPr>
        <w:t>万元，</w:t>
      </w:r>
      <w:r>
        <w:rPr>
          <w:rFonts w:hint="eastAsia" w:ascii="宋体" w:hAnsi="宋体" w:eastAsia="宋体" w:cs="宋体"/>
          <w:sz w:val="28"/>
          <w:szCs w:val="28"/>
          <w:highlight w:val="none"/>
          <w:lang w:eastAsia="zh-CN"/>
        </w:rPr>
        <w:t>减少</w:t>
      </w:r>
      <w:r>
        <w:rPr>
          <w:rFonts w:hint="eastAsia" w:ascii="宋体" w:hAnsi="宋体" w:eastAsia="宋体" w:cs="宋体"/>
          <w:sz w:val="28"/>
          <w:szCs w:val="28"/>
          <w:highlight w:val="none"/>
          <w:lang w:val="en-US" w:eastAsia="zh-CN"/>
        </w:rPr>
        <w:t>33.6</w:t>
      </w:r>
      <w:r>
        <w:rPr>
          <w:rFonts w:hint="eastAsia" w:ascii="宋体" w:hAnsi="宋体" w:eastAsia="宋体" w:cs="宋体"/>
          <w:sz w:val="28"/>
          <w:szCs w:val="28"/>
          <w:highlight w:val="none"/>
        </w:rPr>
        <w:t>%，主要原因同收入</w:t>
      </w:r>
      <w:r>
        <w:rPr>
          <w:rFonts w:hint="eastAsia" w:ascii="宋体" w:hAnsi="宋体" w:eastAsia="宋体" w:cs="宋体"/>
          <w:sz w:val="28"/>
          <w:szCs w:val="28"/>
          <w:highlight w:val="none"/>
          <w:lang w:eastAsia="zh-CN"/>
        </w:rPr>
        <w:t>减少</w:t>
      </w:r>
      <w:r>
        <w:rPr>
          <w:rFonts w:hint="eastAsia" w:ascii="宋体" w:hAnsi="宋体" w:eastAsia="宋体" w:cs="宋体"/>
          <w:sz w:val="28"/>
          <w:szCs w:val="28"/>
          <w:highlight w:val="none"/>
        </w:rPr>
        <w:t>原因。</w:t>
      </w:r>
    </w:p>
    <w:p>
      <w:pPr>
        <w:rPr>
          <w:rFonts w:ascii="宋体" w:hAnsi="宋体" w:eastAsia="宋体"/>
          <w:sz w:val="32"/>
        </w:rPr>
      </w:pPr>
      <w:r>
        <w:drawing>
          <wp:anchor distT="0" distB="0" distL="114300" distR="114300" simplePos="0" relativeHeight="251732992" behindDoc="0" locked="0" layoutInCell="1" allowOverlap="1">
            <wp:simplePos x="0" y="0"/>
            <wp:positionH relativeFrom="column">
              <wp:posOffset>1024890</wp:posOffset>
            </wp:positionH>
            <wp:positionV relativeFrom="paragraph">
              <wp:posOffset>76835</wp:posOffset>
            </wp:positionV>
            <wp:extent cx="4203700" cy="2216150"/>
            <wp:effectExtent l="4445" t="5080" r="20955" b="7620"/>
            <wp:wrapTopAndBottom/>
            <wp:docPr id="19" name="图表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numPr>
          <w:ilvl w:val="0"/>
          <w:numId w:val="0"/>
        </w:numPr>
        <w:tabs>
          <w:tab w:val="left" w:pos="4320"/>
        </w:tabs>
        <w:spacing w:line="292" w:lineRule="exact"/>
        <w:jc w:val="center"/>
        <w:rPr>
          <w:rFonts w:ascii="黑体" w:hAnsi="黑体" w:eastAsia="黑体"/>
          <w:sz w:val="24"/>
        </w:rPr>
      </w:pPr>
      <w:r>
        <w:rPr>
          <w:rFonts w:hint="eastAsia" w:ascii="Times New Roman" w:hAnsi="Times New Roman" w:eastAsia="宋体"/>
          <w:sz w:val="24"/>
          <w:lang w:eastAsia="zh-CN"/>
        </w:rPr>
        <w:t>图</w:t>
      </w:r>
      <w:r>
        <w:rPr>
          <w:rFonts w:ascii="Times New Roman" w:hAnsi="Times New Roman" w:eastAsia="Times New Roman"/>
          <w:sz w:val="24"/>
        </w:rPr>
        <w:t>3</w:t>
      </w:r>
      <w:r>
        <w:rPr>
          <w:rFonts w:ascii="宋体" w:hAnsi="宋体" w:eastAsia="宋体"/>
          <w:sz w:val="24"/>
        </w:rPr>
        <w:t>：</w:t>
      </w:r>
      <w:r>
        <w:rPr>
          <w:rFonts w:ascii="Times New Roman" w:hAnsi="Times New Roman" w:eastAsia="Times New Roman"/>
          <w:sz w:val="24"/>
        </w:rPr>
        <w:t xml:space="preserve">2017-2018 </w:t>
      </w:r>
      <w:r>
        <w:rPr>
          <w:rFonts w:ascii="宋体" w:hAnsi="宋体" w:eastAsia="宋体"/>
          <w:sz w:val="24"/>
        </w:rPr>
        <w:t>年收支对比情况</w:t>
      </w:r>
    </w:p>
    <w:p>
      <w:pPr>
        <w:rPr>
          <w:rFonts w:hint="eastAsia" w:ascii="宋体" w:hAnsi="宋体" w:eastAsia="宋体"/>
          <w:sz w:val="32"/>
          <w:lang w:eastAsia="zh-CN"/>
        </w:rPr>
      </w:pPr>
    </w:p>
    <w:p>
      <w:pPr>
        <w:numPr>
          <w:ilvl w:val="0"/>
          <w:numId w:val="2"/>
        </w:numPr>
        <w:spacing w:line="360" w:lineRule="auto"/>
        <w:ind w:left="14" w:leftChars="7" w:firstLine="787" w:firstLineChars="245"/>
        <w:jc w:val="both"/>
        <w:rPr>
          <w:rFonts w:hint="eastAsia" w:ascii="宋体" w:hAnsi="宋体" w:eastAsia="宋体" w:cs="宋体"/>
          <w:b/>
          <w:sz w:val="32"/>
        </w:rPr>
      </w:pPr>
      <w:r>
        <w:rPr>
          <w:rFonts w:hint="eastAsia" w:ascii="宋体" w:hAnsi="宋体" w:eastAsia="宋体" w:cs="宋体"/>
          <w:b/>
          <w:sz w:val="32"/>
        </w:rPr>
        <w:t>财政拨款收支与年初预算数对比情况</w:t>
      </w:r>
    </w:p>
    <w:p>
      <w:pPr>
        <w:numPr>
          <w:ilvl w:val="0"/>
          <w:numId w:val="0"/>
        </w:numPr>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 xml:space="preserve">本部门 2018 年度一般公共预算财政拨款收入 </w:t>
      </w:r>
      <w:r>
        <w:rPr>
          <w:rFonts w:hint="eastAsia" w:ascii="宋体" w:hAnsi="宋体" w:eastAsia="宋体" w:cs="宋体"/>
          <w:sz w:val="28"/>
          <w:szCs w:val="28"/>
          <w:lang w:val="en-US" w:eastAsia="zh-CN"/>
        </w:rPr>
        <w:t>107.24</w:t>
      </w:r>
      <w:r>
        <w:rPr>
          <w:rFonts w:hint="eastAsia" w:ascii="宋体" w:hAnsi="宋体" w:eastAsia="宋体" w:cs="宋体"/>
          <w:sz w:val="28"/>
          <w:szCs w:val="28"/>
        </w:rPr>
        <w:t xml:space="preserve">万元，完成年初预算的 </w:t>
      </w:r>
      <w:r>
        <w:rPr>
          <w:rFonts w:hint="eastAsia" w:ascii="宋体" w:hAnsi="宋体" w:eastAsia="宋体" w:cs="宋体"/>
          <w:sz w:val="28"/>
          <w:szCs w:val="28"/>
          <w:lang w:val="en-US" w:eastAsia="zh-CN"/>
        </w:rPr>
        <w:t>71.52</w:t>
      </w:r>
      <w:r>
        <w:rPr>
          <w:rFonts w:hint="eastAsia" w:ascii="宋体" w:hAnsi="宋体" w:eastAsia="宋体" w:cs="宋体"/>
          <w:sz w:val="28"/>
          <w:szCs w:val="28"/>
        </w:rPr>
        <w:t xml:space="preserve">%,比年初预算减少 </w:t>
      </w:r>
      <w:r>
        <w:rPr>
          <w:rFonts w:hint="eastAsia" w:ascii="宋体" w:hAnsi="宋体" w:eastAsia="宋体" w:cs="宋体"/>
          <w:sz w:val="28"/>
          <w:szCs w:val="28"/>
          <w:lang w:val="en-US" w:eastAsia="zh-CN"/>
        </w:rPr>
        <w:t>42.53</w:t>
      </w:r>
      <w:r>
        <w:rPr>
          <w:rFonts w:hint="eastAsia" w:ascii="宋体" w:hAnsi="宋体" w:eastAsia="宋体" w:cs="宋体"/>
          <w:sz w:val="28"/>
          <w:szCs w:val="28"/>
        </w:rPr>
        <w:t>万元。决算数小于预算数主要原因是由于</w:t>
      </w:r>
      <w:r>
        <w:rPr>
          <w:rFonts w:hint="eastAsia" w:ascii="宋体" w:hAnsi="宋体" w:eastAsia="宋体" w:cs="宋体"/>
          <w:sz w:val="28"/>
          <w:szCs w:val="28"/>
          <w:lang w:eastAsia="zh-CN"/>
        </w:rPr>
        <w:t>退休人员工资本年度不再列入财政补助收入</w:t>
      </w:r>
      <w:r>
        <w:rPr>
          <w:rFonts w:hint="eastAsia" w:ascii="宋体" w:hAnsi="宋体" w:eastAsia="宋体" w:cs="宋体"/>
          <w:sz w:val="28"/>
          <w:szCs w:val="28"/>
        </w:rPr>
        <w:t xml:space="preserve">；本年支出 </w:t>
      </w:r>
      <w:r>
        <w:rPr>
          <w:rFonts w:hint="eastAsia" w:ascii="宋体" w:hAnsi="宋体" w:eastAsia="宋体" w:cs="宋体"/>
          <w:sz w:val="28"/>
          <w:szCs w:val="28"/>
          <w:lang w:val="en-US" w:eastAsia="zh-CN"/>
        </w:rPr>
        <w:t>105.33</w:t>
      </w:r>
      <w:r>
        <w:rPr>
          <w:rFonts w:hint="eastAsia" w:ascii="宋体" w:hAnsi="宋体" w:eastAsia="宋体" w:cs="宋体"/>
          <w:sz w:val="28"/>
          <w:szCs w:val="28"/>
        </w:rPr>
        <w:t xml:space="preserve"> 万元，完成年初预算的 </w:t>
      </w:r>
      <w:r>
        <w:rPr>
          <w:rFonts w:hint="eastAsia" w:ascii="宋体" w:hAnsi="宋体" w:eastAsia="宋体" w:cs="宋体"/>
          <w:sz w:val="28"/>
          <w:szCs w:val="28"/>
          <w:lang w:val="en-US" w:eastAsia="zh-CN"/>
        </w:rPr>
        <w:t>70.24</w:t>
      </w:r>
      <w:r>
        <w:rPr>
          <w:rFonts w:hint="eastAsia" w:ascii="宋体" w:hAnsi="宋体" w:eastAsia="宋体" w:cs="宋体"/>
          <w:sz w:val="28"/>
          <w:szCs w:val="28"/>
        </w:rPr>
        <w:t xml:space="preserve">%,比年初预算减少 </w:t>
      </w:r>
      <w:r>
        <w:rPr>
          <w:rFonts w:hint="eastAsia" w:ascii="宋体" w:hAnsi="宋体" w:eastAsia="宋体" w:cs="宋体"/>
          <w:sz w:val="28"/>
          <w:szCs w:val="28"/>
          <w:lang w:val="en-US" w:eastAsia="zh-CN"/>
        </w:rPr>
        <w:t>44.62</w:t>
      </w:r>
      <w:r>
        <w:rPr>
          <w:rFonts w:hint="eastAsia" w:ascii="宋体" w:hAnsi="宋体" w:eastAsia="宋体" w:cs="宋体"/>
          <w:sz w:val="28"/>
          <w:szCs w:val="28"/>
        </w:rPr>
        <w:t>万元，支出决算数小于预算数主要原因同收入决算数小于预算数主要原因</w:t>
      </w:r>
      <w:r>
        <w:rPr>
          <w:rFonts w:hint="eastAsia" w:ascii="宋体" w:hAnsi="宋体" w:eastAsia="宋体" w:cs="宋体"/>
          <w:sz w:val="28"/>
          <w:szCs w:val="28"/>
          <w:lang w:eastAsia="zh-CN"/>
        </w:rPr>
        <w:t>。</w:t>
      </w:r>
    </w:p>
    <w:p>
      <w:pPr>
        <w:spacing w:line="360" w:lineRule="auto"/>
        <w:rPr>
          <w:rFonts w:hint="eastAsia" w:ascii="宋体" w:hAnsi="宋体" w:eastAsia="宋体"/>
          <w:sz w:val="32"/>
          <w:lang w:eastAsia="zh-CN"/>
        </w:rPr>
      </w:pPr>
      <w:r>
        <w:drawing>
          <wp:anchor distT="0" distB="0" distL="114300" distR="114300" simplePos="0" relativeHeight="251748352" behindDoc="1" locked="0" layoutInCell="1" allowOverlap="1">
            <wp:simplePos x="0" y="0"/>
            <wp:positionH relativeFrom="column">
              <wp:posOffset>1113155</wp:posOffset>
            </wp:positionH>
            <wp:positionV relativeFrom="paragraph">
              <wp:posOffset>3810</wp:posOffset>
            </wp:positionV>
            <wp:extent cx="4126230" cy="2326640"/>
            <wp:effectExtent l="4445" t="4445" r="22225" b="12065"/>
            <wp:wrapNone/>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rPr>
          <w:rFonts w:hint="eastAsia" w:ascii="宋体" w:hAnsi="宋体" w:eastAsia="宋体"/>
          <w:sz w:val="32"/>
          <w:lang w:eastAsia="zh-CN"/>
        </w:rPr>
      </w:pPr>
    </w:p>
    <w:p>
      <w:pPr>
        <w:rPr>
          <w:rFonts w:hint="eastAsia" w:ascii="宋体" w:hAnsi="宋体" w:eastAsia="宋体"/>
          <w:sz w:val="32"/>
          <w:lang w:eastAsia="zh-CN"/>
        </w:rPr>
      </w:pPr>
    </w:p>
    <w:p>
      <w:pPr>
        <w:rPr>
          <w:rFonts w:hint="eastAsia" w:ascii="宋体" w:hAnsi="宋体" w:eastAsia="宋体"/>
          <w:sz w:val="32"/>
          <w:lang w:eastAsia="zh-CN"/>
        </w:rPr>
      </w:pPr>
    </w:p>
    <w:p>
      <w:pPr>
        <w:rPr>
          <w:rFonts w:hint="eastAsia" w:ascii="宋体" w:hAnsi="宋体" w:eastAsia="宋体"/>
          <w:sz w:val="32"/>
          <w:lang w:eastAsia="zh-CN"/>
        </w:rPr>
      </w:pPr>
    </w:p>
    <w:p>
      <w:pPr>
        <w:rPr>
          <w:rFonts w:hint="eastAsia" w:ascii="宋体" w:hAnsi="宋体" w:eastAsia="宋体"/>
          <w:sz w:val="32"/>
          <w:lang w:eastAsia="zh-CN"/>
        </w:rPr>
      </w:pPr>
    </w:p>
    <w:p>
      <w:pPr>
        <w:rPr>
          <w:rFonts w:hint="eastAsia" w:ascii="宋体" w:hAnsi="宋体" w:eastAsia="宋体"/>
          <w:sz w:val="32"/>
          <w:lang w:eastAsia="zh-CN"/>
        </w:rPr>
      </w:pPr>
    </w:p>
    <w:p>
      <w:pPr>
        <w:rPr>
          <w:rFonts w:hint="eastAsia" w:ascii="宋体" w:hAnsi="宋体" w:eastAsia="宋体"/>
          <w:sz w:val="32"/>
          <w:lang w:eastAsia="zh-CN"/>
        </w:rPr>
      </w:pPr>
    </w:p>
    <w:p>
      <w:pPr>
        <w:spacing w:line="291" w:lineRule="exact"/>
        <w:jc w:val="center"/>
        <w:rPr>
          <w:rFonts w:ascii="宋体" w:hAnsi="宋体" w:eastAsia="宋体"/>
          <w:sz w:val="24"/>
        </w:rPr>
      </w:pPr>
    </w:p>
    <w:p>
      <w:pPr>
        <w:spacing w:line="291" w:lineRule="exact"/>
        <w:jc w:val="center"/>
        <w:rPr>
          <w:rFonts w:ascii="宋体" w:hAnsi="宋体" w:eastAsia="宋体"/>
          <w:sz w:val="24"/>
        </w:rPr>
      </w:pPr>
      <w:r>
        <w:rPr>
          <w:rFonts w:ascii="宋体" w:hAnsi="宋体" w:eastAsia="宋体"/>
          <w:sz w:val="24"/>
        </w:rPr>
        <w:t>图</w:t>
      </w:r>
      <w:r>
        <w:rPr>
          <w:rFonts w:ascii="Arial" w:hAnsi="Arial" w:eastAsia="Arial"/>
          <w:sz w:val="24"/>
        </w:rPr>
        <w:t xml:space="preserve"> 4</w:t>
      </w:r>
      <w:r>
        <w:rPr>
          <w:rFonts w:ascii="宋体" w:hAnsi="宋体" w:eastAsia="宋体"/>
          <w:sz w:val="24"/>
        </w:rPr>
        <w:t>：财政拨款收支预决算对比情况</w:t>
      </w:r>
    </w:p>
    <w:p>
      <w:pPr>
        <w:rPr>
          <w:rFonts w:hint="eastAsia" w:ascii="宋体" w:hAnsi="宋体" w:eastAsia="宋体"/>
          <w:sz w:val="32"/>
          <w:lang w:eastAsia="zh-CN"/>
        </w:rPr>
      </w:pPr>
    </w:p>
    <w:p>
      <w:pPr>
        <w:numPr>
          <w:ilvl w:val="0"/>
          <w:numId w:val="2"/>
        </w:numPr>
        <w:spacing w:line="360" w:lineRule="auto"/>
        <w:ind w:left="14" w:leftChars="7" w:firstLine="787" w:firstLineChars="245"/>
        <w:jc w:val="both"/>
        <w:rPr>
          <w:rFonts w:hint="eastAsia" w:ascii="宋体" w:hAnsi="宋体" w:eastAsia="宋体" w:cs="宋体"/>
          <w:sz w:val="32"/>
          <w:lang w:eastAsia="zh-CN"/>
        </w:rPr>
      </w:pPr>
      <w:r>
        <w:rPr>
          <w:rFonts w:hint="eastAsia" w:ascii="宋体" w:hAnsi="宋体" w:eastAsia="宋体" w:cs="宋体"/>
          <w:b/>
          <w:sz w:val="32"/>
        </w:rPr>
        <w:t>财政拨款支出决算结构情况</w:t>
      </w:r>
    </w:p>
    <w:p>
      <w:pPr>
        <w:numPr>
          <w:ilvl w:val="0"/>
          <w:numId w:val="0"/>
        </w:numPr>
        <w:spacing w:line="360" w:lineRule="auto"/>
        <w:jc w:val="both"/>
        <w:rPr>
          <w:rFonts w:hint="eastAsia" w:ascii="Arial" w:hAnsi="Arial" w:eastAsia="宋体"/>
          <w:sz w:val="28"/>
          <w:szCs w:val="28"/>
          <w:lang w:val="en-US" w:eastAsia="zh-CN"/>
        </w:rPr>
      </w:pPr>
      <w:r>
        <w:rPr>
          <w:rFonts w:hint="eastAsia" w:ascii="宋体" w:hAnsi="宋体" w:eastAsia="宋体" w:cs="宋体"/>
          <w:sz w:val="28"/>
          <w:szCs w:val="28"/>
        </w:rPr>
        <w:t>2018 年度财政拨款支出</w:t>
      </w:r>
      <w:r>
        <w:rPr>
          <w:rFonts w:hint="eastAsia" w:ascii="宋体" w:hAnsi="宋体" w:eastAsia="宋体" w:cs="宋体"/>
          <w:sz w:val="28"/>
          <w:szCs w:val="28"/>
          <w:lang w:val="en-US" w:eastAsia="zh-CN"/>
        </w:rPr>
        <w:t>105.33</w:t>
      </w:r>
      <w:r>
        <w:rPr>
          <w:rFonts w:hint="eastAsia" w:ascii="宋体" w:hAnsi="宋体" w:eastAsia="宋体" w:cs="宋体"/>
          <w:sz w:val="28"/>
          <w:szCs w:val="28"/>
        </w:rPr>
        <w:t xml:space="preserve"> 万元，主要用于以下方面：</w:t>
      </w:r>
      <w:r>
        <w:rPr>
          <w:rFonts w:hint="eastAsia" w:ascii="宋体" w:hAnsi="宋体" w:eastAsia="宋体" w:cs="宋体"/>
          <w:sz w:val="28"/>
          <w:szCs w:val="28"/>
          <w:lang w:eastAsia="zh-CN"/>
        </w:rPr>
        <w:t>医疗卫生与计划生育支出</w:t>
      </w:r>
      <w:r>
        <w:rPr>
          <w:rFonts w:hint="eastAsia" w:ascii="宋体" w:hAnsi="宋体" w:eastAsia="宋体" w:cs="宋体"/>
          <w:sz w:val="28"/>
          <w:szCs w:val="28"/>
          <w:lang w:val="en-US" w:eastAsia="zh-CN"/>
        </w:rPr>
        <w:t>98.81万元，占比93.63%；</w:t>
      </w:r>
      <w:r>
        <w:rPr>
          <w:rFonts w:hint="eastAsia" w:ascii="宋体" w:hAnsi="宋体" w:eastAsia="宋体" w:cs="宋体"/>
          <w:sz w:val="28"/>
          <w:szCs w:val="28"/>
        </w:rPr>
        <w:t xml:space="preserve">社会保障和就业（类）支出 </w:t>
      </w:r>
      <w:r>
        <w:rPr>
          <w:rFonts w:hint="eastAsia" w:ascii="宋体" w:hAnsi="宋体" w:eastAsia="宋体" w:cs="宋体"/>
          <w:sz w:val="28"/>
          <w:szCs w:val="28"/>
          <w:lang w:val="en-US" w:eastAsia="zh-CN"/>
        </w:rPr>
        <w:t>6.52万元，占比6.37%。</w:t>
      </w:r>
    </w:p>
    <w:p>
      <w:pPr>
        <w:numPr>
          <w:ilvl w:val="0"/>
          <w:numId w:val="0"/>
        </w:numPr>
        <w:spacing w:line="360" w:lineRule="auto"/>
        <w:jc w:val="center"/>
      </w:pPr>
      <w:r>
        <w:drawing>
          <wp:inline distT="0" distB="0" distL="114300" distR="114300">
            <wp:extent cx="4286250" cy="2190750"/>
            <wp:effectExtent l="4445" t="4445" r="14605" b="14605"/>
            <wp:docPr id="22" name="图表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91" w:lineRule="exact"/>
        <w:jc w:val="center"/>
        <w:rPr>
          <w:rFonts w:hint="eastAsia" w:ascii="宋体" w:hAnsi="宋体" w:eastAsia="宋体"/>
          <w:sz w:val="24"/>
          <w:szCs w:val="22"/>
          <w:lang w:val="en-US" w:eastAsia="zh-CN"/>
        </w:rPr>
      </w:pPr>
      <w:r>
        <w:rPr>
          <w:rFonts w:hint="eastAsia" w:ascii="宋体" w:hAnsi="宋体" w:eastAsia="宋体"/>
          <w:sz w:val="24"/>
          <w:szCs w:val="22"/>
          <w:lang w:val="en-US" w:eastAsia="zh-CN"/>
        </w:rPr>
        <w:t>图5：财政拨款支出决算结构（按功能分类）</w:t>
      </w:r>
    </w:p>
    <w:p>
      <w:pPr>
        <w:numPr>
          <w:ilvl w:val="0"/>
          <w:numId w:val="0"/>
        </w:numPr>
        <w:spacing w:line="360" w:lineRule="auto"/>
        <w:jc w:val="both"/>
        <w:rPr>
          <w:rFonts w:hint="eastAsia"/>
          <w:lang w:val="en-US" w:eastAsia="zh-CN"/>
        </w:rPr>
      </w:pPr>
    </w:p>
    <w:p>
      <w:pPr>
        <w:keepNext w:val="0"/>
        <w:keepLines w:val="0"/>
        <w:pageBreakBefore w:val="0"/>
        <w:widowControl/>
        <w:numPr>
          <w:ilvl w:val="0"/>
          <w:numId w:val="0"/>
        </w:numPr>
        <w:tabs>
          <w:tab w:val="left" w:pos="800"/>
        </w:tabs>
        <w:kinsoku/>
        <w:wordWrap/>
        <w:overflowPunct/>
        <w:topLinePunct w:val="0"/>
        <w:autoSpaceDE/>
        <w:autoSpaceDN/>
        <w:bidi w:val="0"/>
        <w:adjustRightInd/>
        <w:snapToGrid/>
        <w:spacing w:line="366" w:lineRule="exact"/>
        <w:ind w:left="0" w:leftChars="0" w:firstLine="803" w:firstLineChars="250"/>
        <w:jc w:val="both"/>
        <w:textAlignment w:val="auto"/>
        <w:rPr>
          <w:rFonts w:hint="eastAsia" w:ascii="宋体" w:hAnsi="宋体" w:eastAsia="宋体" w:cs="宋体"/>
          <w:b/>
          <w:bCs w:val="0"/>
          <w:color w:val="000000"/>
          <w:sz w:val="32"/>
          <w:szCs w:val="22"/>
        </w:rPr>
      </w:pPr>
      <w:r>
        <w:rPr>
          <w:rFonts w:hint="eastAsia" w:ascii="宋体" w:hAnsi="宋体" w:eastAsia="宋体" w:cs="宋体"/>
          <w:b/>
          <w:bCs w:val="0"/>
          <w:color w:val="000000"/>
          <w:sz w:val="32"/>
          <w:szCs w:val="22"/>
          <w:lang w:eastAsia="zh-CN"/>
        </w:rPr>
        <w:t>（四）</w:t>
      </w:r>
      <w:r>
        <w:rPr>
          <w:rFonts w:hint="eastAsia" w:ascii="宋体" w:hAnsi="宋体" w:eastAsia="宋体" w:cs="宋体"/>
          <w:b/>
          <w:bCs w:val="0"/>
          <w:color w:val="000000"/>
          <w:sz w:val="32"/>
          <w:szCs w:val="22"/>
        </w:rPr>
        <w:t>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53" w:lineRule="exact"/>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2018 年度一般公共预算财政拨款基本支出 </w:t>
      </w:r>
      <w:r>
        <w:rPr>
          <w:rFonts w:hint="eastAsia" w:ascii="宋体" w:hAnsi="宋体" w:eastAsia="宋体" w:cs="宋体"/>
          <w:sz w:val="28"/>
          <w:szCs w:val="28"/>
          <w:lang w:val="en-US" w:eastAsia="zh-CN"/>
        </w:rPr>
        <w:t>105.33</w:t>
      </w:r>
      <w:r>
        <w:rPr>
          <w:rFonts w:hint="eastAsia" w:ascii="宋体" w:hAnsi="宋体" w:eastAsia="宋体" w:cs="宋体"/>
          <w:sz w:val="28"/>
          <w:szCs w:val="28"/>
        </w:rPr>
        <w:t xml:space="preserve"> 万元，其中：人员经费 </w:t>
      </w:r>
      <w:r>
        <w:rPr>
          <w:rFonts w:hint="eastAsia" w:ascii="宋体" w:hAnsi="宋体" w:eastAsia="宋体" w:cs="宋体"/>
          <w:sz w:val="28"/>
          <w:szCs w:val="28"/>
          <w:lang w:val="en-US" w:eastAsia="zh-CN"/>
        </w:rPr>
        <w:t>64.50</w:t>
      </w:r>
      <w:r>
        <w:rPr>
          <w:rFonts w:hint="eastAsia" w:ascii="宋体" w:hAnsi="宋体" w:eastAsia="宋体" w:cs="宋体"/>
          <w:sz w:val="28"/>
          <w:szCs w:val="28"/>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numPr>
          <w:ilvl w:val="0"/>
          <w:numId w:val="0"/>
        </w:numPr>
        <w:spacing w:line="360" w:lineRule="auto"/>
        <w:jc w:val="both"/>
        <w:rPr>
          <w:rFonts w:hint="eastAsia" w:ascii="宋体" w:hAnsi="宋体" w:eastAsia="宋体" w:cs="宋体"/>
          <w:sz w:val="28"/>
          <w:szCs w:val="28"/>
          <w:lang w:eastAsia="zh-CN"/>
        </w:rPr>
      </w:pPr>
      <w:r>
        <w:rPr>
          <w:rFonts w:hint="eastAsia" w:ascii="宋体" w:hAnsi="宋体" w:eastAsia="宋体" w:cs="宋体"/>
          <w:sz w:val="28"/>
          <w:szCs w:val="28"/>
        </w:rPr>
        <w:t>公用经费</w:t>
      </w:r>
      <w:r>
        <w:rPr>
          <w:rFonts w:hint="eastAsia" w:ascii="宋体" w:hAnsi="宋体" w:eastAsia="宋体" w:cs="宋体"/>
          <w:sz w:val="28"/>
          <w:szCs w:val="28"/>
          <w:lang w:val="en-US" w:eastAsia="zh-CN"/>
        </w:rPr>
        <w:t>40.83</w:t>
      </w:r>
      <w:r>
        <w:rPr>
          <w:rFonts w:hint="eastAsia" w:ascii="宋体" w:hAnsi="宋体" w:eastAsia="宋体" w:cs="宋体"/>
          <w:sz w:val="28"/>
          <w:szCs w:val="28"/>
        </w:rPr>
        <w:t xml:space="preserve"> 万元，主要包括办公费、印刷费、手续费、水费、电费、邮电费、取暖费、物业管理费、差旅费、因公出国（境）费用、维修（护）费、会议费、公务接待费、劳务费、委托业务费、工会经费、福利费、公务用车运行维护费、其他交通费用、其他商</w:t>
      </w:r>
      <w:r>
        <w:rPr>
          <w:rFonts w:hint="eastAsia" w:ascii="宋体" w:hAnsi="宋体" w:eastAsia="宋体" w:cs="宋体"/>
          <w:sz w:val="28"/>
          <w:szCs w:val="28"/>
          <w:lang w:eastAsia="zh-CN"/>
        </w:rPr>
        <w:t>品</w:t>
      </w:r>
      <w:r>
        <w:rPr>
          <w:rFonts w:hint="eastAsia" w:ascii="宋体" w:hAnsi="宋体" w:eastAsia="宋体" w:cs="宋体"/>
          <w:sz w:val="28"/>
          <w:szCs w:val="28"/>
        </w:rPr>
        <w:t>和服务支出、办公设备购置、专用设备购置</w:t>
      </w:r>
      <w:r>
        <w:rPr>
          <w:rFonts w:hint="eastAsia" w:ascii="宋体" w:hAnsi="宋体" w:eastAsia="宋体" w:cs="宋体"/>
          <w:sz w:val="28"/>
          <w:szCs w:val="28"/>
          <w:lang w:eastAsia="zh-CN"/>
        </w:rPr>
        <w:t>等。</w:t>
      </w:r>
    </w:p>
    <w:p>
      <w:pPr>
        <w:numPr>
          <w:ilvl w:val="0"/>
          <w:numId w:val="0"/>
        </w:numPr>
        <w:spacing w:line="360" w:lineRule="auto"/>
        <w:jc w:val="both"/>
        <w:rPr>
          <w:rFonts w:hint="eastAsia" w:ascii="宋体" w:hAnsi="宋体" w:eastAsia="宋体" w:cs="宋体"/>
          <w:sz w:val="28"/>
          <w:szCs w:val="28"/>
          <w:lang w:eastAsia="zh-CN"/>
        </w:rPr>
      </w:pPr>
    </w:p>
    <w:p>
      <w:pPr>
        <w:spacing w:line="360" w:lineRule="auto"/>
        <w:ind w:left="0" w:leftChars="0" w:firstLine="601" w:firstLineChars="187"/>
        <w:jc w:val="both"/>
        <w:rPr>
          <w:rFonts w:hint="eastAsia" w:ascii="宋体" w:hAnsi="宋体" w:eastAsia="宋体" w:cs="宋体"/>
          <w:b/>
          <w:bCs/>
          <w:sz w:val="32"/>
        </w:rPr>
      </w:pPr>
      <w:r>
        <w:rPr>
          <w:rFonts w:hint="eastAsia" w:ascii="宋体" w:hAnsi="宋体" w:eastAsia="宋体" w:cs="宋体"/>
          <w:b/>
          <w:bCs/>
          <w:sz w:val="32"/>
        </w:rPr>
        <w:t>五、一般公共预算财政拨款“三公” 经费支出决算情况说明</w:t>
      </w:r>
    </w:p>
    <w:p>
      <w:pPr>
        <w:numPr>
          <w:ilvl w:val="0"/>
          <w:numId w:val="0"/>
        </w:numPr>
        <w:spacing w:line="36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 xml:space="preserve">2018 年，在做好各项工作的前提下，节省各项开支，尤其是严格控制“三公”经费的支出，本部门 </w:t>
      </w:r>
      <w:r>
        <w:rPr>
          <w:rFonts w:hint="eastAsia" w:ascii="宋体" w:hAnsi="宋体" w:eastAsia="宋体" w:cs="宋体"/>
          <w:b/>
          <w:bCs/>
          <w:sz w:val="28"/>
          <w:szCs w:val="28"/>
        </w:rPr>
        <w:t xml:space="preserve">2018 </w:t>
      </w:r>
      <w:r>
        <w:rPr>
          <w:rFonts w:hint="eastAsia" w:ascii="宋体" w:hAnsi="宋体" w:eastAsia="宋体" w:cs="宋体"/>
          <w:sz w:val="28"/>
          <w:szCs w:val="28"/>
        </w:rPr>
        <w:t xml:space="preserve">年度“三公”经费支出共计 </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r>
        <w:rPr>
          <w:rFonts w:hint="eastAsia" w:ascii="宋体" w:hAnsi="宋体" w:eastAsia="宋体" w:cs="宋体"/>
          <w:b/>
          <w:bCs/>
          <w:sz w:val="28"/>
          <w:szCs w:val="28"/>
        </w:rPr>
        <w:t xml:space="preserve">较年初预算减少 </w:t>
      </w:r>
      <w:r>
        <w:rPr>
          <w:rFonts w:hint="eastAsia" w:ascii="宋体" w:hAnsi="宋体" w:eastAsia="宋体" w:cs="宋体"/>
          <w:b/>
          <w:bCs/>
          <w:sz w:val="28"/>
          <w:szCs w:val="28"/>
          <w:lang w:val="en-US" w:eastAsia="zh-CN"/>
        </w:rPr>
        <w:t>0</w:t>
      </w:r>
      <w:r>
        <w:rPr>
          <w:rFonts w:hint="eastAsia" w:ascii="宋体" w:hAnsi="宋体" w:eastAsia="宋体" w:cs="宋体"/>
          <w:b/>
          <w:bCs/>
          <w:sz w:val="28"/>
          <w:szCs w:val="28"/>
        </w:rPr>
        <w:t>万元，</w:t>
      </w:r>
      <w:r>
        <w:rPr>
          <w:rFonts w:hint="eastAsia" w:ascii="宋体" w:hAnsi="宋体" w:eastAsia="宋体" w:cs="宋体"/>
          <w:b/>
          <w:bCs/>
          <w:sz w:val="28"/>
          <w:szCs w:val="28"/>
          <w:lang w:eastAsia="zh-CN"/>
        </w:rPr>
        <w:t>较年初无变化。与</w:t>
      </w:r>
      <w:r>
        <w:rPr>
          <w:rFonts w:hint="eastAsia" w:ascii="宋体" w:hAnsi="宋体" w:eastAsia="宋体" w:cs="宋体"/>
          <w:b/>
          <w:bCs/>
          <w:sz w:val="28"/>
          <w:szCs w:val="28"/>
          <w:lang w:val="en-US" w:eastAsia="zh-CN"/>
        </w:rPr>
        <w:t>2017年度相比无变化。</w:t>
      </w:r>
      <w:r>
        <w:rPr>
          <w:rFonts w:hint="eastAsia" w:ascii="宋体" w:hAnsi="宋体" w:eastAsia="宋体" w:cs="宋体"/>
          <w:sz w:val="28"/>
          <w:szCs w:val="28"/>
        </w:rPr>
        <w:t>主要是</w:t>
      </w:r>
      <w:r>
        <w:rPr>
          <w:rFonts w:hint="eastAsia" w:ascii="宋体" w:hAnsi="宋体" w:eastAsia="宋体" w:cs="宋体"/>
          <w:sz w:val="28"/>
          <w:szCs w:val="28"/>
          <w:lang w:eastAsia="zh-CN"/>
        </w:rPr>
        <w:t>本部门</w:t>
      </w:r>
      <w:r>
        <w:rPr>
          <w:rFonts w:hint="eastAsia" w:ascii="宋体" w:hAnsi="宋体" w:eastAsia="宋体" w:cs="宋体"/>
          <w:sz w:val="28"/>
          <w:szCs w:val="28"/>
        </w:rPr>
        <w:t>认真落实中央“八项规定”精神和厉行节约要求，管理制度不断完善，</w:t>
      </w:r>
      <w:r>
        <w:rPr>
          <w:rFonts w:hint="eastAsia" w:ascii="宋体" w:hAnsi="宋体" w:eastAsia="宋体" w:cs="宋体"/>
          <w:sz w:val="28"/>
          <w:szCs w:val="28"/>
          <w:lang w:eastAsia="zh-CN"/>
        </w:rPr>
        <w:t>本部门无公务用车故三公经费没有变化。</w:t>
      </w:r>
    </w:p>
    <w:p>
      <w:pPr>
        <w:numPr>
          <w:ilvl w:val="0"/>
          <w:numId w:val="0"/>
        </w:numPr>
        <w:spacing w:line="360" w:lineRule="auto"/>
        <w:jc w:val="center"/>
        <w:rPr>
          <w:rFonts w:hint="eastAsia" w:ascii="宋体" w:hAnsi="宋体" w:eastAsia="宋体" w:cs="宋体"/>
          <w:sz w:val="28"/>
          <w:szCs w:val="28"/>
        </w:rPr>
      </w:pPr>
      <w:r>
        <w:drawing>
          <wp:inline distT="0" distB="0" distL="114300" distR="114300">
            <wp:extent cx="4572000" cy="2743200"/>
            <wp:effectExtent l="4445" t="4445" r="14605" b="1460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spacing w:line="360" w:lineRule="auto"/>
        <w:jc w:val="center"/>
        <w:rPr>
          <w:rFonts w:hint="eastAsia" w:ascii="宋体" w:hAnsi="宋体" w:eastAsia="宋体" w:cs="宋体"/>
          <w:sz w:val="22"/>
          <w:szCs w:val="22"/>
        </w:rPr>
      </w:pPr>
      <w:r>
        <w:rPr>
          <w:rFonts w:hint="eastAsia" w:ascii="宋体" w:hAnsi="宋体" w:eastAsia="宋体" w:cs="宋体"/>
          <w:sz w:val="22"/>
          <w:szCs w:val="22"/>
        </w:rPr>
        <w:t>图 6：三公经费预决算对比情况</w:t>
      </w:r>
    </w:p>
    <w:p>
      <w:pPr>
        <w:numPr>
          <w:ilvl w:val="0"/>
          <w:numId w:val="0"/>
        </w:num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具体情况如下：</w:t>
      </w:r>
    </w:p>
    <w:p>
      <w:pPr>
        <w:numPr>
          <w:ilvl w:val="0"/>
          <w:numId w:val="0"/>
        </w:num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 xml:space="preserve">（一）因公出国（境）费支出 </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numPr>
          <w:ilvl w:val="0"/>
          <w:numId w:val="0"/>
        </w:num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 xml:space="preserve">（二）公务用车购置及运行维护费支出 </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numPr>
          <w:ilvl w:val="0"/>
          <w:numId w:val="0"/>
        </w:numPr>
        <w:spacing w:line="36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公务用车购置费： 本部门 2018 年公务用车购置费</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r>
        <w:rPr>
          <w:rFonts w:hint="eastAsia" w:ascii="宋体" w:hAnsi="宋体" w:eastAsia="宋体" w:cs="宋体"/>
          <w:sz w:val="28"/>
          <w:szCs w:val="28"/>
          <w:lang w:eastAsia="zh-CN"/>
        </w:rPr>
        <w:t>。</w:t>
      </w:r>
    </w:p>
    <w:p>
      <w:pPr>
        <w:numPr>
          <w:ilvl w:val="0"/>
          <w:numId w:val="0"/>
        </w:numPr>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公务用车运行维护费：本部门 2018 年度单位公务用车保有量</w:t>
      </w:r>
      <w:r>
        <w:rPr>
          <w:rFonts w:hint="eastAsia" w:ascii="宋体" w:hAnsi="宋体" w:eastAsia="宋体" w:cs="宋体"/>
          <w:sz w:val="28"/>
          <w:szCs w:val="28"/>
          <w:lang w:val="en-US" w:eastAsia="zh-CN"/>
        </w:rPr>
        <w:t>0</w:t>
      </w:r>
      <w:r>
        <w:rPr>
          <w:rFonts w:hint="eastAsia" w:ascii="宋体" w:hAnsi="宋体" w:eastAsia="宋体" w:cs="宋体"/>
          <w:sz w:val="28"/>
          <w:szCs w:val="28"/>
        </w:rPr>
        <w:t xml:space="preserve"> 辆。</w:t>
      </w:r>
    </w:p>
    <w:p>
      <w:pPr>
        <w:numPr>
          <w:ilvl w:val="0"/>
          <w:numId w:val="0"/>
        </w:numPr>
        <w:spacing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rPr>
        <w:t xml:space="preserve">（三）公务接待费支出 </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numPr>
          <w:ilvl w:val="0"/>
          <w:numId w:val="3"/>
        </w:numPr>
        <w:spacing w:line="360" w:lineRule="auto"/>
        <w:ind w:left="14" w:leftChars="7" w:firstLine="585" w:firstLineChars="182"/>
        <w:jc w:val="both"/>
        <w:rPr>
          <w:rFonts w:hint="eastAsia" w:ascii="宋体" w:hAnsi="宋体" w:eastAsia="宋体" w:cs="宋体"/>
          <w:b/>
          <w:bCs/>
          <w:sz w:val="32"/>
          <w:szCs w:val="32"/>
        </w:rPr>
      </w:pPr>
      <w:r>
        <w:rPr>
          <w:rFonts w:hint="eastAsia" w:ascii="宋体" w:hAnsi="宋体" w:eastAsia="宋体" w:cs="宋体"/>
          <w:b/>
          <w:bCs/>
          <w:sz w:val="32"/>
          <w:szCs w:val="32"/>
        </w:rPr>
        <w:t>预算绩效情况说明</w:t>
      </w:r>
    </w:p>
    <w:p>
      <w:pPr>
        <w:numPr>
          <w:ilvl w:val="0"/>
          <w:numId w:val="4"/>
        </w:numPr>
        <w:spacing w:line="360" w:lineRule="auto"/>
        <w:ind w:left="0" w:leftChars="0" w:firstLine="703" w:firstLineChars="250"/>
        <w:jc w:val="both"/>
        <w:rPr>
          <w:rFonts w:hint="eastAsia" w:ascii="宋体" w:hAnsi="宋体" w:eastAsia="宋体" w:cs="宋体"/>
          <w:b/>
          <w:sz w:val="28"/>
          <w:szCs w:val="18"/>
          <w:lang w:eastAsia="zh-CN"/>
        </w:rPr>
      </w:pPr>
      <w:r>
        <w:rPr>
          <w:rFonts w:hint="eastAsia" w:ascii="宋体" w:hAnsi="宋体" w:eastAsia="宋体" w:cs="宋体"/>
          <w:b/>
          <w:sz w:val="28"/>
          <w:szCs w:val="18"/>
          <w:lang w:val="en-US" w:eastAsia="zh-CN"/>
        </w:rPr>
        <w:t xml:space="preserve"> </w:t>
      </w:r>
      <w:r>
        <w:rPr>
          <w:rFonts w:hint="eastAsia" w:ascii="宋体" w:hAnsi="宋体" w:eastAsia="宋体" w:cs="宋体"/>
          <w:b/>
          <w:sz w:val="28"/>
          <w:szCs w:val="18"/>
        </w:rPr>
        <w:t>预算绩效管理工作开展情况</w:t>
      </w:r>
      <w:r>
        <w:rPr>
          <w:rFonts w:hint="eastAsia" w:ascii="宋体" w:hAnsi="宋体" w:eastAsia="宋体" w:cs="宋体"/>
          <w:b/>
          <w:sz w:val="28"/>
          <w:szCs w:val="18"/>
          <w:lang w:eastAsia="zh-CN"/>
        </w:rPr>
        <w:t>、</w:t>
      </w:r>
    </w:p>
    <w:p>
      <w:pPr>
        <w:numPr>
          <w:ilvl w:val="0"/>
          <w:numId w:val="0"/>
        </w:numPr>
        <w:spacing w:line="360" w:lineRule="auto"/>
        <w:ind w:firstLine="840" w:firstLineChars="300"/>
        <w:jc w:val="both"/>
        <w:rPr>
          <w:rFonts w:hint="eastAsia" w:ascii="宋体" w:hAnsi="宋体" w:eastAsia="宋体" w:cs="宋体"/>
          <w:sz w:val="28"/>
          <w:szCs w:val="18"/>
        </w:rPr>
      </w:pPr>
      <w:r>
        <w:rPr>
          <w:rFonts w:hint="eastAsia" w:ascii="宋体" w:hAnsi="宋体" w:eastAsia="宋体" w:cs="宋体"/>
          <w:sz w:val="28"/>
          <w:szCs w:val="18"/>
        </w:rPr>
        <w:t>根据省财政预算绩效管理要求，</w:t>
      </w:r>
      <w:r>
        <w:rPr>
          <w:rFonts w:hint="eastAsia" w:ascii="宋体" w:hAnsi="宋体" w:eastAsia="宋体" w:cs="宋体"/>
          <w:color w:val="000000" w:themeColor="text1"/>
          <w:sz w:val="28"/>
          <w:szCs w:val="18"/>
          <w:lang w:eastAsia="zh-CN"/>
          <w14:textFill>
            <w14:solidFill>
              <w14:schemeClr w14:val="tx1"/>
            </w14:solidFill>
          </w14:textFill>
        </w:rPr>
        <w:t>本部门</w:t>
      </w:r>
      <w:r>
        <w:rPr>
          <w:rFonts w:hint="eastAsia" w:ascii="宋体" w:hAnsi="宋体" w:eastAsia="宋体" w:cs="宋体"/>
          <w:color w:val="000000" w:themeColor="text1"/>
          <w:sz w:val="28"/>
          <w:szCs w:val="18"/>
          <w14:textFill>
            <w14:solidFill>
              <w14:schemeClr w14:val="tx1"/>
            </w14:solidFill>
          </w14:textFill>
        </w:rPr>
        <w:t>以</w:t>
      </w:r>
      <w:r>
        <w:rPr>
          <w:rFonts w:hint="eastAsia" w:ascii="宋体" w:hAnsi="宋体" w:eastAsia="宋体" w:cs="宋体"/>
          <w:sz w:val="28"/>
          <w:szCs w:val="18"/>
        </w:rPr>
        <w:t>“部门职责—工作活动”为依据，确定部门预算项目和预算额度，清晰描述预算项目开支范围和内容，确定预算项目的绩效目标、绩效指标和评价标准，为预算绩效控制、绩效分析、绩效评价打下好的基础。</w:t>
      </w:r>
    </w:p>
    <w:p>
      <w:pPr>
        <w:spacing w:line="360" w:lineRule="auto"/>
        <w:ind w:left="0" w:leftChars="0" w:firstLine="803" w:firstLineChars="250"/>
        <w:jc w:val="both"/>
        <w:rPr>
          <w:rFonts w:hint="eastAsia" w:ascii="宋体" w:hAnsi="宋体" w:eastAsia="宋体" w:cs="宋体"/>
          <w:b/>
          <w:sz w:val="32"/>
        </w:rPr>
      </w:pPr>
      <w:r>
        <w:rPr>
          <w:rFonts w:hint="eastAsia" w:ascii="宋体" w:hAnsi="宋体" w:eastAsia="宋体" w:cs="宋体"/>
          <w:b/>
          <w:sz w:val="32"/>
        </w:rPr>
        <w:t>（二）项目绩效自评结果</w:t>
      </w:r>
    </w:p>
    <w:p>
      <w:pPr>
        <w:pStyle w:val="8"/>
        <w:numPr>
          <w:ilvl w:val="0"/>
          <w:numId w:val="0"/>
        </w:numPr>
        <w:spacing w:after="0" w:line="360" w:lineRule="auto"/>
        <w:ind w:firstLine="560"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总体情况：201</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年我所仅仅围绕上级部门部署预算安排各项资金，扎实推进卫生监督规范化建设，加快构建覆盖城乡的卫生法律服务体系，每季度按照考勤、完成任务情况进行自评、总评，</w:t>
      </w:r>
      <w:r>
        <w:rPr>
          <w:rFonts w:hint="eastAsia" w:ascii="宋体" w:hAnsi="宋体" w:eastAsia="宋体" w:cs="宋体"/>
          <w:sz w:val="28"/>
          <w:szCs w:val="28"/>
          <w:highlight w:val="none"/>
          <w:lang w:eastAsia="zh-CN"/>
        </w:rPr>
        <w:t>全力</w:t>
      </w:r>
      <w:r>
        <w:rPr>
          <w:rFonts w:hint="eastAsia" w:ascii="宋体" w:hAnsi="宋体" w:eastAsia="宋体" w:cs="宋体"/>
          <w:sz w:val="28"/>
          <w:szCs w:val="28"/>
          <w:highlight w:val="none"/>
        </w:rPr>
        <w:t>维护社会和谐稳定，为经济强省，美丽河北、和谐南宫提供卫生法律保障。</w:t>
      </w:r>
    </w:p>
    <w:p>
      <w:pPr>
        <w:pStyle w:val="8"/>
        <w:numPr>
          <w:ilvl w:val="0"/>
          <w:numId w:val="5"/>
        </w:numPr>
        <w:tabs>
          <w:tab w:val="left" w:pos="600"/>
          <w:tab w:val="left" w:pos="800"/>
          <w:tab w:val="left" w:pos="1200"/>
          <w:tab w:val="left" w:pos="1400"/>
        </w:tabs>
        <w:spacing w:after="0" w:line="360" w:lineRule="auto"/>
        <w:ind w:left="425" w:leftChars="0" w:firstLine="375" w:firstLineChars="0"/>
        <w:jc w:val="both"/>
        <w:rPr>
          <w:rFonts w:hint="eastAsia" w:ascii="宋体" w:hAnsi="宋体" w:eastAsia="宋体" w:cs="宋体"/>
          <w:sz w:val="28"/>
          <w:szCs w:val="28"/>
          <w:lang w:eastAsia="zh-CN"/>
        </w:rPr>
      </w:pPr>
      <w:r>
        <w:rPr>
          <w:rFonts w:hint="eastAsia" w:ascii="宋体" w:hAnsi="宋体" w:eastAsia="宋体" w:cs="宋体"/>
          <w:sz w:val="28"/>
          <w:szCs w:val="28"/>
          <w:highlight w:val="none"/>
        </w:rPr>
        <w:t>绩效自评开展情况</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成立以所长为组长，分管所长为副所长，财务、业务科室等部门为成员的绩效评价工作组，以上级文件精神，明确</w:t>
      </w:r>
      <w:r>
        <w:rPr>
          <w:rFonts w:hint="eastAsia" w:ascii="宋体" w:hAnsi="宋体" w:eastAsia="宋体" w:cs="宋体"/>
          <w:sz w:val="28"/>
          <w:szCs w:val="28"/>
        </w:rPr>
        <w:t>目标任务，落实责任分工，确保自评工作扎实有效开展</w:t>
      </w:r>
      <w:r>
        <w:rPr>
          <w:rFonts w:hint="eastAsia" w:ascii="宋体" w:hAnsi="宋体" w:eastAsia="宋体" w:cs="宋体"/>
          <w:sz w:val="28"/>
          <w:szCs w:val="28"/>
          <w:lang w:eastAsia="zh-CN"/>
        </w:rPr>
        <w:t>；严肃风纪，规范监督员管理加强内部管理，对监督员日常工作行为开展不定期自查。</w:t>
      </w:r>
    </w:p>
    <w:p>
      <w:pPr>
        <w:pStyle w:val="8"/>
        <w:numPr>
          <w:ilvl w:val="0"/>
          <w:numId w:val="5"/>
        </w:numPr>
        <w:tabs>
          <w:tab w:val="left" w:pos="600"/>
          <w:tab w:val="left" w:pos="800"/>
          <w:tab w:val="left" w:pos="1200"/>
          <w:tab w:val="left" w:pos="1400"/>
        </w:tabs>
        <w:spacing w:after="0" w:line="360" w:lineRule="auto"/>
        <w:ind w:left="425" w:leftChars="0" w:firstLine="375" w:firstLineChars="0"/>
        <w:jc w:val="both"/>
        <w:rPr>
          <w:rFonts w:hint="eastAsia" w:ascii="宋体" w:hAnsi="宋体" w:eastAsia="宋体" w:cs="宋体"/>
          <w:sz w:val="28"/>
          <w:szCs w:val="28"/>
          <w:lang w:eastAsia="zh-CN"/>
        </w:rPr>
      </w:pPr>
      <w:r>
        <w:rPr>
          <w:rFonts w:hint="eastAsia" w:ascii="宋体" w:hAnsi="宋体" w:eastAsia="宋体" w:cs="宋体"/>
          <w:sz w:val="28"/>
          <w:szCs w:val="28"/>
        </w:rPr>
        <w:t>部门整体绩效目标的完成情况</w:t>
      </w:r>
      <w:r>
        <w:rPr>
          <w:rFonts w:hint="eastAsia" w:ascii="宋体" w:hAnsi="宋体" w:eastAsia="宋体" w:cs="宋体"/>
          <w:sz w:val="28"/>
          <w:szCs w:val="28"/>
          <w:lang w:val="en-US" w:eastAsia="zh-CN"/>
        </w:rPr>
        <w:t>:</w:t>
      </w:r>
      <w:r>
        <w:rPr>
          <w:rFonts w:hint="eastAsia" w:ascii="宋体" w:hAnsi="宋体" w:eastAsia="宋体" w:cs="宋体"/>
          <w:sz w:val="28"/>
          <w:szCs w:val="28"/>
        </w:rPr>
        <w:t>通过履行卫生监督执法</w:t>
      </w:r>
      <w:r>
        <w:rPr>
          <w:rFonts w:hint="eastAsia" w:ascii="宋体" w:hAnsi="宋体" w:eastAsia="宋体" w:cs="宋体"/>
          <w:sz w:val="28"/>
          <w:szCs w:val="28"/>
          <w:lang w:eastAsia="zh-CN"/>
        </w:rPr>
        <w:t>，</w:t>
      </w:r>
      <w:r>
        <w:rPr>
          <w:rFonts w:hint="eastAsia" w:ascii="宋体" w:hAnsi="宋体" w:eastAsia="宋体" w:cs="宋体"/>
          <w:sz w:val="28"/>
          <w:szCs w:val="28"/>
        </w:rPr>
        <w:t>努力提高被监管单位法律意识和法律素质，增强被监管单位管理水平，促进依法职业行为。最大限度的降低卫生违法行为发生率，</w:t>
      </w:r>
      <w:r>
        <w:rPr>
          <w:rFonts w:hint="eastAsia" w:ascii="宋体" w:hAnsi="宋体" w:eastAsia="宋体" w:cs="宋体"/>
          <w:sz w:val="28"/>
          <w:szCs w:val="28"/>
          <w:lang w:eastAsia="zh-CN"/>
        </w:rPr>
        <w:t>对检查中发现的问题及时提出整改意见，加大卫生执法宣传力度，加强对医疗机构的卫生监督管理，</w:t>
      </w:r>
      <w:r>
        <w:rPr>
          <w:rFonts w:hint="eastAsia" w:ascii="宋体" w:hAnsi="宋体" w:eastAsia="宋体" w:cs="宋体"/>
          <w:sz w:val="28"/>
          <w:szCs w:val="28"/>
        </w:rPr>
        <w:t>促进卫生健康事业健康发展，全面贯彻党的卫生方针政策。</w:t>
      </w:r>
    </w:p>
    <w:p>
      <w:pPr>
        <w:numPr>
          <w:ilvl w:val="0"/>
          <w:numId w:val="3"/>
        </w:numPr>
        <w:spacing w:before="50" w:after="0" w:line="360" w:lineRule="auto"/>
        <w:ind w:left="14" w:leftChars="7" w:right="-20" w:firstLine="585" w:firstLineChars="182"/>
        <w:jc w:val="both"/>
        <w:rPr>
          <w:rFonts w:hint="eastAsia" w:ascii="宋体" w:hAnsi="宋体" w:eastAsia="宋体" w:cs="宋体"/>
          <w:b/>
          <w:bCs/>
          <w:sz w:val="32"/>
          <w:szCs w:val="32"/>
        </w:rPr>
      </w:pPr>
      <w:r>
        <w:rPr>
          <w:rFonts w:hint="eastAsia" w:ascii="宋体" w:hAnsi="宋体" w:eastAsia="宋体" w:cs="宋体"/>
          <w:b/>
          <w:bCs/>
          <w:sz w:val="32"/>
          <w:szCs w:val="32"/>
        </w:rPr>
        <w:t>其他重要事项的说明</w:t>
      </w:r>
    </w:p>
    <w:p>
      <w:pPr>
        <w:pStyle w:val="5"/>
        <w:widowControl/>
        <w:numPr>
          <w:ilvl w:val="0"/>
          <w:numId w:val="6"/>
        </w:numPr>
        <w:shd w:val="clear" w:color="auto" w:fill="FFFFFF"/>
        <w:adjustRightInd w:val="0"/>
        <w:snapToGrid w:val="0"/>
        <w:spacing w:beforeAutospacing="0" w:afterAutospacing="0" w:line="360" w:lineRule="auto"/>
        <w:ind w:left="712" w:leftChars="356" w:firstLine="73" w:firstLineChars="26"/>
        <w:jc w:val="both"/>
        <w:rPr>
          <w:rFonts w:hint="eastAsia" w:ascii="宋体" w:hAnsi="宋体" w:eastAsia="宋体" w:cs="宋体"/>
          <w:b/>
          <w:bCs/>
          <w:sz w:val="28"/>
          <w:szCs w:val="28"/>
        </w:rPr>
      </w:pPr>
      <w:r>
        <w:rPr>
          <w:rFonts w:hint="eastAsia" w:ascii="宋体" w:hAnsi="宋体" w:eastAsia="宋体" w:cs="宋体"/>
          <w:b/>
          <w:bCs/>
          <w:sz w:val="28"/>
          <w:szCs w:val="28"/>
        </w:rPr>
        <w:t>机关运行经费情况</w:t>
      </w:r>
    </w:p>
    <w:p>
      <w:pPr>
        <w:adjustRightInd w:val="0"/>
        <w:snapToGrid w:val="0"/>
        <w:spacing w:line="360" w:lineRule="auto"/>
        <w:ind w:left="712" w:leftChars="356" w:firstLine="72" w:firstLineChars="26"/>
        <w:jc w:val="both"/>
        <w:rPr>
          <w:rFonts w:hint="eastAsia" w:ascii="宋体" w:hAnsi="宋体" w:eastAsia="宋体" w:cs="宋体"/>
          <w:sz w:val="13"/>
          <w:szCs w:val="13"/>
        </w:rPr>
      </w:pPr>
      <w:r>
        <w:rPr>
          <w:rFonts w:hint="eastAsia" w:ascii="宋体" w:hAnsi="宋体" w:eastAsia="宋体" w:cs="宋体"/>
          <w:sz w:val="28"/>
          <w:szCs w:val="28"/>
          <w:lang w:eastAsia="zh-CN"/>
        </w:rPr>
        <w:t>我单位为事业单位，无需填报机关运行经费情况。</w:t>
      </w:r>
    </w:p>
    <w:p>
      <w:pPr>
        <w:pStyle w:val="5"/>
        <w:widowControl/>
        <w:numPr>
          <w:ilvl w:val="0"/>
          <w:numId w:val="6"/>
        </w:numPr>
        <w:shd w:val="clear" w:color="auto" w:fill="FFFFFF"/>
        <w:adjustRightInd w:val="0"/>
        <w:snapToGrid w:val="0"/>
        <w:spacing w:beforeAutospacing="0" w:afterAutospacing="0" w:line="360" w:lineRule="auto"/>
        <w:ind w:left="712" w:leftChars="356" w:firstLine="73" w:firstLineChars="26"/>
        <w:jc w:val="both"/>
        <w:rPr>
          <w:rFonts w:hint="eastAsia" w:ascii="宋体" w:hAnsi="宋体" w:eastAsia="宋体" w:cs="宋体"/>
          <w:b/>
          <w:bCs/>
          <w:sz w:val="28"/>
          <w:szCs w:val="28"/>
          <w:lang w:eastAsia="zh-CN"/>
        </w:rPr>
      </w:pPr>
      <w:r>
        <w:rPr>
          <w:rFonts w:hint="eastAsia" w:ascii="宋体" w:hAnsi="宋体" w:eastAsia="宋体" w:cs="宋体"/>
          <w:b/>
          <w:bCs/>
          <w:sz w:val="28"/>
          <w:szCs w:val="28"/>
        </w:rPr>
        <w:t>政府采购情况</w:t>
      </w:r>
    </w:p>
    <w:p>
      <w:pPr>
        <w:pStyle w:val="5"/>
        <w:widowControl/>
        <w:numPr>
          <w:ilvl w:val="0"/>
          <w:numId w:val="0"/>
        </w:numPr>
        <w:shd w:val="clear" w:color="auto" w:fill="FFFFFF"/>
        <w:adjustRightInd w:val="0"/>
        <w:snapToGrid w:val="0"/>
        <w:spacing w:beforeAutospacing="0" w:afterAutospacing="0" w:line="36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我单位2017年政府采购支出为0万元，所以《政府采购情况表》</w:t>
      </w:r>
      <w:r>
        <w:rPr>
          <w:rFonts w:hint="eastAsia" w:ascii="宋体" w:hAnsi="宋体" w:eastAsia="宋体" w:cs="宋体"/>
          <w:spacing w:val="-2"/>
          <w:sz w:val="28"/>
          <w:szCs w:val="28"/>
          <w:lang w:eastAsia="zh-CN"/>
        </w:rPr>
        <w:t>为</w:t>
      </w:r>
      <w:r>
        <w:rPr>
          <w:rFonts w:hint="eastAsia" w:ascii="宋体" w:hAnsi="宋体" w:eastAsia="宋体" w:cs="宋体"/>
          <w:sz w:val="28"/>
          <w:szCs w:val="28"/>
          <w:lang w:eastAsia="zh-CN"/>
        </w:rPr>
        <w:t>空表。</w:t>
      </w:r>
    </w:p>
    <w:p>
      <w:pPr>
        <w:pStyle w:val="5"/>
        <w:widowControl/>
        <w:numPr>
          <w:ilvl w:val="0"/>
          <w:numId w:val="6"/>
        </w:numPr>
        <w:shd w:val="clear" w:color="auto" w:fill="FFFFFF"/>
        <w:adjustRightInd w:val="0"/>
        <w:snapToGrid w:val="0"/>
        <w:spacing w:beforeAutospacing="0" w:afterAutospacing="0" w:line="360" w:lineRule="auto"/>
        <w:ind w:left="712" w:leftChars="356" w:firstLine="73" w:firstLineChars="26"/>
        <w:jc w:val="both"/>
        <w:rPr>
          <w:rFonts w:hint="eastAsia" w:ascii="宋体" w:hAnsi="宋体" w:eastAsia="宋体" w:cs="宋体"/>
          <w:b/>
          <w:bCs/>
          <w:sz w:val="28"/>
          <w:szCs w:val="28"/>
        </w:rPr>
      </w:pPr>
      <w:r>
        <w:rPr>
          <w:rFonts w:hint="eastAsia" w:ascii="宋体" w:hAnsi="宋体" w:eastAsia="宋体" w:cs="宋体"/>
          <w:b/>
          <w:bCs/>
          <w:sz w:val="28"/>
          <w:szCs w:val="28"/>
        </w:rPr>
        <w:t>国有资产占用情况</w:t>
      </w:r>
    </w:p>
    <w:p>
      <w:pPr>
        <w:spacing w:after="0" w:line="360" w:lineRule="auto"/>
        <w:ind w:right="21"/>
        <w:jc w:val="both"/>
        <w:rPr>
          <w:rFonts w:hint="eastAsia" w:ascii="宋体" w:hAnsi="宋体" w:eastAsia="宋体" w:cs="宋体"/>
          <w:sz w:val="32"/>
          <w:szCs w:val="32"/>
        </w:rPr>
      </w:pPr>
      <w:r>
        <w:rPr>
          <w:rFonts w:hint="eastAsia" w:ascii="宋体" w:hAnsi="宋体" w:eastAsia="宋体" w:cs="宋体"/>
          <w:sz w:val="28"/>
          <w:szCs w:val="28"/>
          <w:lang w:eastAsia="zh-CN"/>
        </w:rPr>
        <w:t>截止目前，我单位共有车辆3辆，其中，省级领导干部用车0辆</w:t>
      </w:r>
      <w:r>
        <w:rPr>
          <w:rFonts w:hint="eastAsia" w:ascii="宋体" w:hAnsi="宋体" w:eastAsia="宋体" w:cs="宋体"/>
          <w:spacing w:val="-81"/>
          <w:sz w:val="28"/>
          <w:szCs w:val="28"/>
          <w:lang w:eastAsia="zh-CN"/>
        </w:rPr>
        <w:t>，</w:t>
      </w:r>
      <w:r>
        <w:rPr>
          <w:rFonts w:hint="eastAsia" w:ascii="宋体" w:hAnsi="宋体" w:eastAsia="宋体" w:cs="宋体"/>
          <w:sz w:val="28"/>
          <w:szCs w:val="28"/>
          <w:lang w:eastAsia="zh-CN"/>
        </w:rPr>
        <w:t>一般公务用车0辆</w:t>
      </w:r>
      <w:r>
        <w:rPr>
          <w:rFonts w:hint="eastAsia" w:ascii="宋体" w:hAnsi="宋体" w:eastAsia="宋体" w:cs="宋体"/>
          <w:spacing w:val="-81"/>
          <w:sz w:val="28"/>
          <w:szCs w:val="28"/>
          <w:lang w:eastAsia="zh-CN"/>
        </w:rPr>
        <w:t>、</w:t>
      </w:r>
      <w:r>
        <w:rPr>
          <w:rFonts w:hint="eastAsia" w:ascii="宋体" w:hAnsi="宋体" w:eastAsia="宋体" w:cs="宋体"/>
          <w:sz w:val="28"/>
          <w:szCs w:val="28"/>
          <w:lang w:eastAsia="zh-CN"/>
        </w:rPr>
        <w:t>一般执法执勤用车3辆、特种专业技术用车0辆</w:t>
      </w:r>
      <w:r>
        <w:rPr>
          <w:rFonts w:hint="eastAsia" w:ascii="宋体" w:hAnsi="宋体" w:eastAsia="宋体" w:cs="宋体"/>
          <w:spacing w:val="-81"/>
          <w:sz w:val="28"/>
          <w:szCs w:val="28"/>
          <w:lang w:eastAsia="zh-CN"/>
        </w:rPr>
        <w:t>、</w:t>
      </w:r>
      <w:r>
        <w:rPr>
          <w:rFonts w:hint="eastAsia" w:ascii="宋体" w:hAnsi="宋体" w:eastAsia="宋体" w:cs="宋体"/>
          <w:sz w:val="28"/>
          <w:szCs w:val="28"/>
          <w:lang w:eastAsia="zh-CN"/>
        </w:rPr>
        <w:t>其他用车0辆</w:t>
      </w:r>
      <w:r>
        <w:rPr>
          <w:rFonts w:hint="eastAsia" w:ascii="宋体" w:hAnsi="宋体" w:eastAsia="宋体" w:cs="宋体"/>
          <w:spacing w:val="-81"/>
          <w:sz w:val="28"/>
          <w:szCs w:val="28"/>
          <w:lang w:eastAsia="zh-CN"/>
        </w:rPr>
        <w:t>；</w:t>
      </w:r>
      <w:r>
        <w:rPr>
          <w:rFonts w:hint="eastAsia" w:ascii="宋体" w:hAnsi="宋体" w:eastAsia="宋体" w:cs="宋体"/>
          <w:sz w:val="28"/>
          <w:szCs w:val="28"/>
          <w:lang w:eastAsia="zh-CN"/>
        </w:rPr>
        <w:t>单位价值50万元以上大型设备0台（套</w:t>
      </w:r>
      <w:r>
        <w:rPr>
          <w:rFonts w:hint="eastAsia" w:ascii="宋体" w:hAnsi="宋体" w:eastAsia="宋体" w:cs="宋体"/>
          <w:spacing w:val="-160"/>
          <w:sz w:val="28"/>
          <w:szCs w:val="28"/>
          <w:lang w:eastAsia="zh-CN"/>
        </w:rPr>
        <w:t>）</w:t>
      </w:r>
      <w:r>
        <w:rPr>
          <w:rFonts w:hint="eastAsia" w:ascii="宋体" w:hAnsi="宋体" w:eastAsia="宋体" w:cs="宋体"/>
          <w:sz w:val="28"/>
          <w:szCs w:val="28"/>
          <w:lang w:eastAsia="zh-CN"/>
        </w:rPr>
        <w:t>，单位价值</w:t>
      </w:r>
      <w:r>
        <w:rPr>
          <w:rFonts w:hint="eastAsia" w:ascii="宋体" w:hAnsi="宋体" w:eastAsia="宋体" w:cs="宋体"/>
          <w:spacing w:val="-1"/>
          <w:sz w:val="28"/>
          <w:szCs w:val="28"/>
          <w:lang w:eastAsia="zh-CN"/>
        </w:rPr>
        <w:t>1</w:t>
      </w:r>
      <w:r>
        <w:rPr>
          <w:rFonts w:hint="eastAsia" w:ascii="宋体" w:hAnsi="宋体" w:eastAsia="宋体" w:cs="宋体"/>
          <w:spacing w:val="-2"/>
          <w:sz w:val="28"/>
          <w:szCs w:val="28"/>
          <w:lang w:eastAsia="zh-CN"/>
        </w:rPr>
        <w:t>0</w:t>
      </w:r>
      <w:r>
        <w:rPr>
          <w:rFonts w:hint="eastAsia" w:ascii="宋体" w:hAnsi="宋体" w:eastAsia="宋体" w:cs="宋体"/>
          <w:sz w:val="28"/>
          <w:szCs w:val="28"/>
          <w:lang w:eastAsia="zh-CN"/>
        </w:rPr>
        <w:t>0万元以上大型设备0台</w:t>
      </w:r>
      <w:r>
        <w:rPr>
          <w:rFonts w:hint="eastAsia" w:ascii="宋体" w:hAnsi="宋体" w:eastAsia="宋体" w:cs="宋体"/>
          <w:sz w:val="28"/>
          <w:szCs w:val="28"/>
          <w:highlight w:val="none"/>
          <w:lang w:eastAsia="zh-CN"/>
        </w:rPr>
        <w:t>。</w:t>
      </w:r>
    </w:p>
    <w:p>
      <w:pPr>
        <w:spacing w:line="360" w:lineRule="auto"/>
        <w:ind w:left="712" w:leftChars="356" w:firstLine="52" w:firstLineChars="26"/>
        <w:jc w:val="both"/>
        <w:rPr>
          <w:rFonts w:hint="eastAsia" w:ascii="宋体" w:hAnsi="宋体" w:eastAsia="宋体" w:cs="宋体"/>
        </w:rPr>
      </w:pPr>
    </w:p>
    <w:p>
      <w:pPr>
        <w:numPr>
          <w:ilvl w:val="0"/>
          <w:numId w:val="2"/>
        </w:numPr>
        <w:spacing w:line="360" w:lineRule="auto"/>
        <w:ind w:left="14" w:leftChars="7" w:firstLine="787" w:firstLineChars="280"/>
        <w:jc w:val="both"/>
        <w:rPr>
          <w:rFonts w:hint="eastAsia" w:ascii="宋体" w:hAnsi="宋体" w:eastAsia="宋体" w:cs="宋体"/>
          <w:b/>
          <w:bCs w:val="0"/>
          <w:sz w:val="28"/>
          <w:szCs w:val="18"/>
        </w:rPr>
      </w:pPr>
      <w:r>
        <w:rPr>
          <w:rFonts w:hint="eastAsia" w:ascii="宋体" w:hAnsi="宋体" w:eastAsia="宋体" w:cs="宋体"/>
          <w:b/>
          <w:bCs w:val="0"/>
          <w:sz w:val="28"/>
          <w:szCs w:val="18"/>
        </w:rPr>
        <w:t>其他需要说明的情况</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right="23"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本部门 2018 年度</w:t>
      </w:r>
      <w:r>
        <w:rPr>
          <w:rFonts w:hint="eastAsia" w:ascii="宋体" w:hAnsi="宋体" w:eastAsia="宋体" w:cs="宋体"/>
          <w:i w:val="0"/>
          <w:color w:val="000000"/>
          <w:kern w:val="0"/>
          <w:sz w:val="30"/>
          <w:szCs w:val="30"/>
          <w:u w:val="none"/>
          <w:lang w:val="en-US" w:eastAsia="zh-CN" w:bidi="ar"/>
        </w:rPr>
        <w:t>一般公共预算财政拨款“三公”经费支出决算表、</w:t>
      </w:r>
      <w:r>
        <w:rPr>
          <w:rFonts w:hint="eastAsia" w:ascii="宋体" w:hAnsi="宋体" w:eastAsia="宋体" w:cs="宋体"/>
          <w:sz w:val="28"/>
          <w:szCs w:val="28"/>
          <w:lang w:eastAsia="zh-CN"/>
        </w:rPr>
        <w:t>政府性基金预算财政拨款、国有资本经营预算财政拨款、</w:t>
      </w:r>
      <w:r>
        <w:rPr>
          <w:rFonts w:hint="eastAsia" w:ascii="宋体" w:hAnsi="宋体" w:eastAsia="宋体" w:cs="宋体"/>
          <w:i w:val="0"/>
          <w:color w:val="000000"/>
          <w:kern w:val="0"/>
          <w:sz w:val="30"/>
          <w:szCs w:val="30"/>
          <w:u w:val="none"/>
          <w:lang w:val="en-US" w:eastAsia="zh-CN" w:bidi="ar"/>
        </w:rPr>
        <w:t>政府采购情况表</w:t>
      </w:r>
      <w:r>
        <w:rPr>
          <w:rFonts w:hint="eastAsia" w:ascii="宋体" w:hAnsi="宋体" w:eastAsia="宋体" w:cs="宋体"/>
          <w:sz w:val="28"/>
          <w:szCs w:val="28"/>
          <w:lang w:eastAsia="zh-CN"/>
        </w:rPr>
        <w:t>无收支及结转结余情况，故</w:t>
      </w:r>
      <w:r>
        <w:rPr>
          <w:rFonts w:hint="eastAsia" w:ascii="宋体" w:hAnsi="宋体" w:eastAsia="宋体" w:cs="宋体"/>
          <w:i w:val="0"/>
          <w:color w:val="000000"/>
          <w:kern w:val="0"/>
          <w:sz w:val="30"/>
          <w:szCs w:val="30"/>
          <w:u w:val="none"/>
          <w:lang w:val="en-US" w:eastAsia="zh-CN" w:bidi="ar"/>
        </w:rPr>
        <w:t>一般公共预算财政拨款“三公”经费支出决算表</w:t>
      </w:r>
      <w:r>
        <w:rPr>
          <w:rFonts w:hint="eastAsia" w:ascii="宋体" w:hAnsi="宋体" w:eastAsia="宋体" w:cs="宋体"/>
          <w:sz w:val="28"/>
          <w:szCs w:val="28"/>
          <w:lang w:eastAsia="zh-CN"/>
        </w:rPr>
        <w:t>政府性基金预算财政拨款收入支出决算表、国有资本经营预算财政拨款、</w:t>
      </w:r>
      <w:r>
        <w:rPr>
          <w:rFonts w:hint="eastAsia" w:ascii="宋体" w:hAnsi="宋体" w:eastAsia="宋体" w:cs="宋体"/>
          <w:i w:val="0"/>
          <w:color w:val="000000"/>
          <w:kern w:val="0"/>
          <w:sz w:val="30"/>
          <w:szCs w:val="30"/>
          <w:u w:val="none"/>
          <w:lang w:val="en-US" w:eastAsia="zh-CN" w:bidi="ar"/>
        </w:rPr>
        <w:t>政府采购情况表</w:t>
      </w:r>
      <w:bookmarkStart w:id="10" w:name="_GoBack"/>
      <w:bookmarkEnd w:id="10"/>
      <w:r>
        <w:rPr>
          <w:rFonts w:hint="eastAsia" w:ascii="宋体" w:hAnsi="宋体" w:eastAsia="宋体" w:cs="宋体"/>
          <w:sz w:val="28"/>
          <w:szCs w:val="28"/>
          <w:lang w:eastAsia="zh-CN"/>
        </w:rPr>
        <w:t>支出决算表以空表列示。</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right="23" w:firstLine="560" w:firstLineChars="200"/>
        <w:jc w:val="both"/>
        <w:textAlignment w:val="auto"/>
        <w:rPr>
          <w:rFonts w:hint="eastAsia" w:ascii="宋体" w:hAnsi="宋体" w:eastAsia="宋体" w:cs="宋体"/>
          <w:sz w:val="28"/>
          <w:szCs w:val="28"/>
          <w:lang w:val="en-US" w:eastAsia="zh-CN"/>
        </w:rPr>
        <w:sectPr>
          <w:pgSz w:w="11900" w:h="16838"/>
          <w:pgMar w:top="1440" w:right="1304" w:bottom="297" w:left="1304" w:header="0" w:footer="0" w:gutter="0"/>
          <w:pgBorders>
            <w:top w:val="none" w:sz="0" w:space="0"/>
            <w:left w:val="none" w:sz="0" w:space="0"/>
            <w:bottom w:val="none" w:sz="0" w:space="0"/>
            <w:right w:val="none" w:sz="0" w:space="0"/>
          </w:pgBorders>
          <w:cols w:space="720" w:num="1"/>
          <w:rtlGutter w:val="0"/>
          <w:docGrid w:linePitch="360" w:charSpace="0"/>
        </w:sectPr>
      </w:pPr>
      <w:r>
        <w:rPr>
          <w:rFonts w:hint="eastAsia" w:ascii="宋体" w:hAnsi="宋体" w:eastAsia="宋体" w:cs="宋体"/>
          <w:sz w:val="28"/>
          <w:szCs w:val="28"/>
          <w:lang w:eastAsia="zh-CN"/>
        </w:rPr>
        <w:t>由于决算公开表格中金额数值应当保留两位小数，公开数据为四舍五入计算结果，个别数据合计项与分项之和存在小数点后差额，特此说明。</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第四部分</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lang w:eastAsia="zh-CN"/>
        </w:rPr>
        <w:t>名词解释</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eastAsia="Calibri"/>
          <w:b w:val="0"/>
          <w:bCs/>
          <w:sz w:val="28"/>
          <w:szCs w:val="28"/>
          <w:lang w:eastAsia="zh-CN"/>
        </w:rPr>
      </w:pPr>
      <w:r>
        <w:rPr>
          <w:rFonts w:hint="eastAsia" w:ascii="宋体" w:hAnsi="宋体" w:eastAsia="宋体" w:cs="Arial"/>
          <w:b w:val="0"/>
          <w:bCs/>
          <w:sz w:val="28"/>
          <w:szCs w:val="28"/>
          <w:lang w:eastAsia="zh-CN"/>
        </w:rPr>
        <w:t>（一）</w:t>
      </w:r>
      <w:r>
        <w:rPr>
          <w:rFonts w:hint="eastAsia" w:ascii="宋体" w:hAnsi="宋体" w:eastAsia="宋体" w:cs="Arial"/>
          <w:b/>
          <w:bCs w:val="0"/>
          <w:sz w:val="28"/>
          <w:szCs w:val="28"/>
          <w:lang w:eastAsia="zh-CN"/>
        </w:rPr>
        <w:t>财政拨款收入：</w:t>
      </w:r>
      <w:r>
        <w:rPr>
          <w:rFonts w:hint="eastAsia" w:ascii="宋体" w:hAnsi="宋体" w:eastAsia="宋体" w:cs="Arial"/>
          <w:b w:val="0"/>
          <w:bCs/>
          <w:sz w:val="28"/>
          <w:szCs w:val="28"/>
          <w:lang w:eastAsia="zh-CN"/>
        </w:rPr>
        <w:t>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（二）</w:t>
      </w:r>
      <w:r>
        <w:rPr>
          <w:rFonts w:hint="eastAsia" w:ascii="宋体" w:hAnsi="宋体" w:eastAsia="宋体" w:cs="Arial"/>
          <w:b/>
          <w:bCs w:val="0"/>
          <w:sz w:val="28"/>
          <w:szCs w:val="28"/>
          <w:lang w:eastAsia="zh-CN"/>
        </w:rPr>
        <w:t>事业收入：</w:t>
      </w:r>
      <w:r>
        <w:rPr>
          <w:rFonts w:hint="eastAsia" w:ascii="宋体" w:hAnsi="宋体" w:eastAsia="宋体" w:cs="Arial"/>
          <w:b w:val="0"/>
          <w:bCs/>
          <w:sz w:val="28"/>
          <w:szCs w:val="28"/>
          <w:lang w:eastAsia="zh-CN"/>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（三）</w:t>
      </w:r>
      <w:r>
        <w:rPr>
          <w:rFonts w:hint="eastAsia" w:ascii="宋体" w:hAnsi="宋体" w:eastAsia="宋体" w:cs="Arial"/>
          <w:b/>
          <w:bCs w:val="0"/>
          <w:sz w:val="28"/>
          <w:szCs w:val="28"/>
          <w:lang w:eastAsia="zh-CN"/>
        </w:rPr>
        <w:t>其他收入：</w:t>
      </w:r>
      <w:r>
        <w:rPr>
          <w:rFonts w:hint="eastAsia" w:ascii="宋体" w:hAnsi="宋体" w:eastAsia="宋体" w:cs="Arial"/>
          <w:b w:val="0"/>
          <w:bCs/>
          <w:sz w:val="28"/>
          <w:szCs w:val="28"/>
          <w:lang w:eastAsia="zh-CN"/>
        </w:rPr>
        <w:t>指除上述“财政拨款收入”“事业收入” “经营收入”等以外的收入。</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（四）</w:t>
      </w:r>
      <w:r>
        <w:rPr>
          <w:rFonts w:hint="eastAsia" w:ascii="宋体" w:hAnsi="宋体" w:eastAsia="宋体" w:cs="Arial"/>
          <w:b/>
          <w:bCs w:val="0"/>
          <w:sz w:val="28"/>
          <w:szCs w:val="28"/>
          <w:lang w:eastAsia="zh-CN"/>
        </w:rPr>
        <w:t>用事业基金弥补收支差额：</w:t>
      </w:r>
      <w:r>
        <w:rPr>
          <w:rFonts w:hint="eastAsia" w:ascii="宋体" w:hAnsi="宋体" w:eastAsia="宋体" w:cs="Arial"/>
          <w:b w:val="0"/>
          <w:bCs/>
          <w:sz w:val="28"/>
          <w:szCs w:val="28"/>
          <w:lang w:eastAsia="zh-CN"/>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（五）</w:t>
      </w:r>
      <w:r>
        <w:rPr>
          <w:rFonts w:hint="eastAsia" w:ascii="宋体" w:hAnsi="宋体" w:eastAsia="宋体" w:cs="Arial"/>
          <w:b/>
          <w:bCs w:val="0"/>
          <w:sz w:val="28"/>
          <w:szCs w:val="28"/>
          <w:lang w:eastAsia="zh-CN"/>
        </w:rPr>
        <w:t>年初结转和结余：</w:t>
      </w:r>
      <w:r>
        <w:rPr>
          <w:rFonts w:hint="eastAsia" w:ascii="宋体" w:hAnsi="宋体" w:eastAsia="宋体" w:cs="Arial"/>
          <w:b w:val="0"/>
          <w:bCs/>
          <w:sz w:val="28"/>
          <w:szCs w:val="28"/>
          <w:lang w:eastAsia="zh-CN"/>
        </w:rPr>
        <w:t>指以前年度尚未完成、结转到本年仍按原规定用途继续使用的资金，或项目已完成等产生的结余资金。</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（六）</w:t>
      </w:r>
      <w:r>
        <w:rPr>
          <w:rFonts w:hint="eastAsia" w:ascii="宋体" w:hAnsi="宋体" w:eastAsia="宋体" w:cs="Arial"/>
          <w:b/>
          <w:bCs w:val="0"/>
          <w:sz w:val="28"/>
          <w:szCs w:val="28"/>
          <w:lang w:eastAsia="zh-CN"/>
        </w:rPr>
        <w:t>结余分配：</w:t>
      </w:r>
      <w:r>
        <w:rPr>
          <w:rFonts w:hint="eastAsia" w:ascii="宋体" w:hAnsi="宋体" w:eastAsia="宋体" w:cs="Arial"/>
          <w:b w:val="0"/>
          <w:bCs/>
          <w:sz w:val="28"/>
          <w:szCs w:val="28"/>
          <w:lang w:eastAsia="zh-CN"/>
        </w:rPr>
        <w:t>指事业单位按照事业单位会计制度的规定</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从非财政补助结余中分配的事业基金和职工福利基金等。</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（七）</w:t>
      </w:r>
      <w:r>
        <w:rPr>
          <w:rFonts w:hint="eastAsia" w:ascii="宋体" w:hAnsi="宋体" w:eastAsia="宋体" w:cs="Arial"/>
          <w:b/>
          <w:bCs w:val="0"/>
          <w:sz w:val="28"/>
          <w:szCs w:val="28"/>
          <w:lang w:eastAsia="zh-CN"/>
        </w:rPr>
        <w:t>年末结转和结余：</w:t>
      </w:r>
      <w:r>
        <w:rPr>
          <w:rFonts w:hint="eastAsia" w:ascii="宋体" w:hAnsi="宋体" w:eastAsia="宋体" w:cs="Arial"/>
          <w:b w:val="0"/>
          <w:bCs/>
          <w:sz w:val="28"/>
          <w:szCs w:val="28"/>
          <w:lang w:eastAsia="zh-CN"/>
        </w:rPr>
        <w:t>指单位按有关规定结转到下年或以后年度继续使用的资金，或项目已完成等产生的结余资金。</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（八）</w:t>
      </w:r>
      <w:r>
        <w:rPr>
          <w:rFonts w:hint="eastAsia" w:ascii="宋体" w:hAnsi="宋体" w:eastAsia="宋体" w:cs="Arial"/>
          <w:b/>
          <w:bCs w:val="0"/>
          <w:sz w:val="28"/>
          <w:szCs w:val="28"/>
          <w:lang w:eastAsia="zh-CN"/>
        </w:rPr>
        <w:t>基本支出：</w:t>
      </w:r>
      <w:r>
        <w:rPr>
          <w:rFonts w:hint="eastAsia" w:ascii="宋体" w:hAnsi="宋体" w:eastAsia="宋体" w:cs="Arial"/>
          <w:b w:val="0"/>
          <w:bCs/>
          <w:sz w:val="28"/>
          <w:szCs w:val="28"/>
          <w:lang w:eastAsia="zh-CN"/>
        </w:rPr>
        <w:t>填列单位为保障机构正常运转、完成日常工作任务而发生的各项支出。</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（九）</w:t>
      </w:r>
      <w:r>
        <w:rPr>
          <w:rFonts w:hint="eastAsia" w:ascii="宋体" w:hAnsi="宋体" w:eastAsia="宋体" w:cs="Arial"/>
          <w:b/>
          <w:bCs w:val="0"/>
          <w:sz w:val="28"/>
          <w:szCs w:val="28"/>
          <w:lang w:eastAsia="zh-CN"/>
        </w:rPr>
        <w:t>项目支出：</w:t>
      </w:r>
      <w:r>
        <w:rPr>
          <w:rFonts w:hint="eastAsia" w:ascii="宋体" w:hAnsi="宋体" w:eastAsia="宋体" w:cs="Arial"/>
          <w:b w:val="0"/>
          <w:bCs/>
          <w:sz w:val="28"/>
          <w:szCs w:val="28"/>
          <w:lang w:eastAsia="zh-CN"/>
        </w:rPr>
        <w:t>填列单位为完成特定的行政工作任务或事业发展目标，在基本支出之外发生的各项支出</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w:t>
      </w:r>
      <w:r>
        <w:rPr>
          <w:rFonts w:hint="eastAsia" w:ascii="宋体" w:hAnsi="宋体" w:eastAsia="宋体" w:cs="Arial"/>
          <w:b/>
          <w:bCs w:val="0"/>
          <w:sz w:val="28"/>
          <w:szCs w:val="28"/>
          <w:lang w:eastAsia="zh-CN"/>
        </w:rPr>
        <w:t>资本性支出：</w:t>
      </w:r>
      <w:r>
        <w:rPr>
          <w:rFonts w:hint="eastAsia" w:ascii="宋体" w:hAnsi="宋体" w:eastAsia="宋体" w:cs="Arial"/>
          <w:b w:val="0"/>
          <w:bCs/>
          <w:sz w:val="28"/>
          <w:szCs w:val="28"/>
          <w:lang w:eastAsia="zh-CN"/>
        </w:rPr>
        <w:t>填列各单位安排的资本性支出。切块由发展改革部门安排的基本建设支出不在此科目反映。</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（十一）</w:t>
      </w:r>
      <w:r>
        <w:rPr>
          <w:rFonts w:hint="eastAsia" w:ascii="宋体" w:hAnsi="宋体" w:eastAsia="宋体" w:cs="Arial"/>
          <w:b/>
          <w:bCs w:val="0"/>
          <w:sz w:val="28"/>
          <w:szCs w:val="28"/>
          <w:lang w:eastAsia="zh-CN"/>
        </w:rPr>
        <w:t>“三公”经费：</w:t>
      </w:r>
      <w:r>
        <w:rPr>
          <w:rFonts w:hint="eastAsia" w:ascii="宋体" w:hAnsi="宋体" w:eastAsia="宋体" w:cs="Arial"/>
          <w:b w:val="0"/>
          <w:bCs/>
          <w:sz w:val="28"/>
          <w:szCs w:val="28"/>
          <w:lang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（十二）</w:t>
      </w:r>
      <w:r>
        <w:rPr>
          <w:rFonts w:hint="eastAsia" w:ascii="宋体" w:hAnsi="宋体" w:eastAsia="宋体" w:cs="Arial"/>
          <w:b/>
          <w:bCs w:val="0"/>
          <w:sz w:val="28"/>
          <w:szCs w:val="28"/>
          <w:lang w:eastAsia="zh-CN"/>
        </w:rPr>
        <w:t>其他交通费用：</w:t>
      </w:r>
      <w:r>
        <w:rPr>
          <w:rFonts w:hint="eastAsia" w:ascii="宋体" w:hAnsi="宋体" w:eastAsia="宋体" w:cs="Arial"/>
          <w:b w:val="0"/>
          <w:bCs/>
          <w:sz w:val="28"/>
          <w:szCs w:val="28"/>
          <w:lang w:eastAsia="zh-CN"/>
        </w:rPr>
        <w:t>填列单位除公务用车运行维护费以外的其他交通费用。如公务交通补贴、租车费用、出租车费用、飞机、船舶等的燃料费、维修费、保险费等。</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（十三）</w:t>
      </w:r>
      <w:r>
        <w:rPr>
          <w:rFonts w:hint="eastAsia" w:ascii="宋体" w:hAnsi="宋体" w:eastAsia="宋体" w:cs="Arial"/>
          <w:b/>
          <w:bCs w:val="0"/>
          <w:sz w:val="28"/>
          <w:szCs w:val="28"/>
          <w:lang w:eastAsia="zh-CN"/>
        </w:rPr>
        <w:t>公务用车购置：</w:t>
      </w:r>
      <w:r>
        <w:rPr>
          <w:rFonts w:hint="eastAsia" w:ascii="宋体" w:hAnsi="宋体" w:eastAsia="宋体" w:cs="Arial"/>
          <w:b w:val="0"/>
          <w:bCs/>
          <w:sz w:val="28"/>
          <w:szCs w:val="28"/>
          <w:lang w:eastAsia="zh-CN"/>
        </w:rPr>
        <w:t>填列单位公务用车购置支出（含车辆购置税、牌照费）。</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（十四）</w:t>
      </w:r>
      <w:r>
        <w:rPr>
          <w:rFonts w:hint="eastAsia" w:ascii="宋体" w:hAnsi="宋体" w:eastAsia="宋体" w:cs="Arial"/>
          <w:b/>
          <w:bCs w:val="0"/>
          <w:sz w:val="28"/>
          <w:szCs w:val="28"/>
          <w:lang w:eastAsia="zh-CN"/>
        </w:rPr>
        <w:t>机关运行经费：</w:t>
      </w:r>
      <w:r>
        <w:rPr>
          <w:rFonts w:hint="eastAsia" w:ascii="宋体" w:hAnsi="宋体" w:eastAsia="宋体" w:cs="Arial"/>
          <w:b w:val="0"/>
          <w:bCs/>
          <w:sz w:val="28"/>
          <w:szCs w:val="28"/>
          <w:lang w:eastAsia="zh-CN"/>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tLeast"/>
        <w:ind w:left="0" w:leftChars="0" w:right="26" w:firstLine="0" w:firstLineChars="0"/>
        <w:jc w:val="both"/>
        <w:textAlignment w:val="auto"/>
        <w:rPr>
          <w:rFonts w:hint="eastAsia" w:ascii="宋体" w:hAnsi="宋体" w:eastAsia="宋体" w:cs="Arial"/>
          <w:b w:val="0"/>
          <w:bCs/>
          <w:sz w:val="28"/>
          <w:szCs w:val="28"/>
          <w:lang w:eastAsia="zh-CN"/>
        </w:rPr>
      </w:pPr>
      <w:r>
        <w:rPr>
          <w:rFonts w:hint="eastAsia" w:ascii="宋体" w:hAnsi="宋体" w:eastAsia="宋体" w:cs="Arial"/>
          <w:b w:val="0"/>
          <w:bCs/>
          <w:sz w:val="28"/>
          <w:szCs w:val="28"/>
          <w:lang w:eastAsia="zh-CN"/>
        </w:rPr>
        <w:t>（十五）</w:t>
      </w:r>
      <w:r>
        <w:rPr>
          <w:rFonts w:hint="eastAsia" w:ascii="宋体" w:hAnsi="宋体" w:eastAsia="宋体" w:cs="Arial"/>
          <w:b/>
          <w:bCs w:val="0"/>
          <w:sz w:val="28"/>
          <w:szCs w:val="28"/>
          <w:lang w:eastAsia="zh-CN"/>
        </w:rPr>
        <w:t>经费形式:</w:t>
      </w:r>
      <w:r>
        <w:rPr>
          <w:rFonts w:hint="eastAsia" w:ascii="宋体" w:hAnsi="宋体" w:eastAsia="宋体" w:cs="Arial"/>
          <w:b w:val="0"/>
          <w:bCs/>
          <w:sz w:val="28"/>
          <w:szCs w:val="28"/>
          <w:lang w:eastAsia="zh-CN"/>
        </w:rPr>
        <w:t>按照经费来源，可分为财政拨款、财政性资金基本保证、财政性资金定额或定项补助、财政性资金零补助四类。</w:t>
      </w:r>
    </w:p>
    <w:p>
      <w:pPr>
        <w:rPr>
          <w:rFonts w:hint="eastAsia" w:eastAsia="Calibri"/>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86"/>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Calibri">
    <w:altName w:val="Century Gothic"/>
    <w:panose1 w:val="020F0502020204030204"/>
    <w:charset w:val="86"/>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0" w:usb3="00000000" w:csb0="0004001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86"/>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9517EC"/>
    <w:multiLevelType w:val="singleLevel"/>
    <w:tmpl w:val="FC9517EC"/>
    <w:lvl w:ilvl="0" w:tentative="0">
      <w:start w:val="2"/>
      <w:numFmt w:val="chineseCounting"/>
      <w:suff w:val="nothing"/>
      <w:lvlText w:val="（%1）"/>
      <w:lvlJc w:val="left"/>
      <w:rPr>
        <w:rFonts w:hint="eastAsia"/>
      </w:rPr>
    </w:lvl>
  </w:abstractNum>
  <w:abstractNum w:abstractNumId="1">
    <w:nsid w:val="07CD35F0"/>
    <w:multiLevelType w:val="singleLevel"/>
    <w:tmpl w:val="07CD35F0"/>
    <w:lvl w:ilvl="0" w:tentative="0">
      <w:start w:val="1"/>
      <w:numFmt w:val="decimal"/>
      <w:suff w:val="nothing"/>
      <w:lvlText w:val="%1、"/>
      <w:lvlJc w:val="left"/>
    </w:lvl>
  </w:abstractNum>
  <w:abstractNum w:abstractNumId="2">
    <w:nsid w:val="1B484D17"/>
    <w:multiLevelType w:val="multilevel"/>
    <w:tmpl w:val="1B484D17"/>
    <w:lvl w:ilvl="0" w:tentative="0">
      <w:start w:val="1"/>
      <w:numFmt w:val="chineseCountingThousand"/>
      <w:lvlText w:val="(%1)"/>
      <w:lvlJc w:val="left"/>
      <w:pPr>
        <w:ind w:left="1470" w:hanging="108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3">
    <w:nsid w:val="36E6BF12"/>
    <w:multiLevelType w:val="singleLevel"/>
    <w:tmpl w:val="36E6BF12"/>
    <w:lvl w:ilvl="0" w:tentative="0">
      <w:start w:val="1"/>
      <w:numFmt w:val="chineseCounting"/>
      <w:suff w:val="nothing"/>
      <w:lvlText w:val="（%1）"/>
      <w:lvlJc w:val="left"/>
      <w:rPr>
        <w:rFonts w:hint="eastAsia"/>
      </w:rPr>
    </w:lvl>
  </w:abstractNum>
  <w:abstractNum w:abstractNumId="4">
    <w:nsid w:val="60201219"/>
    <w:multiLevelType w:val="singleLevel"/>
    <w:tmpl w:val="60201219"/>
    <w:lvl w:ilvl="0" w:tentative="0">
      <w:start w:val="6"/>
      <w:numFmt w:val="chineseCounting"/>
      <w:suff w:val="nothing"/>
      <w:lvlText w:val="%1、"/>
      <w:lvlJc w:val="left"/>
      <w:rPr>
        <w:rFonts w:hint="eastAsia"/>
      </w:rPr>
    </w:lvl>
  </w:abstractNum>
  <w:abstractNum w:abstractNumId="5">
    <w:nsid w:val="758FB099"/>
    <w:multiLevelType w:val="singleLevel"/>
    <w:tmpl w:val="758FB099"/>
    <w:lvl w:ilvl="0" w:tentative="0">
      <w:start w:val="1"/>
      <w:numFmt w:val="decimal"/>
      <w:lvlText w:val="(%1)"/>
      <w:lvlJc w:val="left"/>
      <w:pPr>
        <w:ind w:left="425" w:hanging="425"/>
      </w:pPr>
      <w:rPr>
        <w:rFonts w:hint="default"/>
      </w:rPr>
    </w:lvl>
  </w:abstractNum>
  <w:abstractNum w:abstractNumId="6">
    <w:nsid w:val="76826FAB"/>
    <w:multiLevelType w:val="singleLevel"/>
    <w:tmpl w:val="76826FAB"/>
    <w:lvl w:ilvl="0" w:tentative="0">
      <w:start w:val="3"/>
      <w:numFmt w:val="chineseCounting"/>
      <w:suff w:val="nothing"/>
      <w:lvlText w:val="%1、"/>
      <w:lvlJc w:val="left"/>
      <w:rPr>
        <w:rFonts w:hint="eastAsia"/>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01AEE"/>
    <w:rsid w:val="0B727F81"/>
    <w:rsid w:val="105C3257"/>
    <w:rsid w:val="1ED30689"/>
    <w:rsid w:val="22CB019E"/>
    <w:rsid w:val="253C6F1B"/>
    <w:rsid w:val="283608CD"/>
    <w:rsid w:val="28726F9E"/>
    <w:rsid w:val="2C0C1B3E"/>
    <w:rsid w:val="2CCD7132"/>
    <w:rsid w:val="3994694F"/>
    <w:rsid w:val="475B2F03"/>
    <w:rsid w:val="49801AEE"/>
    <w:rsid w:val="53FB1037"/>
    <w:rsid w:val="55D03D43"/>
    <w:rsid w:val="5F3C1CA9"/>
    <w:rsid w:val="72216634"/>
    <w:rsid w:val="72C1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100" w:afterAutospacing="1" w:line="240" w:lineRule="auto"/>
    </w:pPr>
    <w:rPr>
      <w:rFonts w:eastAsia="宋体" w:cs="Times New Roman"/>
      <w:sz w:val="24"/>
      <w:szCs w:val="24"/>
      <w:lang w:eastAsia="zh-CN"/>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2270;&#34920;%20&#22312;%20&#27827;&#21271;&#30465;&#36130;&#25919;&#21381;&#20915;&#31639;&#65288;&#20844;&#24320;&#26684;&#24335;&#65289;.doc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2270;&#34920;%20&#22312;%20&#27827;&#21271;&#30465;&#36130;&#25919;&#21381;&#20915;&#31639;&#65288;&#20844;&#24320;&#26684;&#24335;&#65289;.doc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2270;&#34920;%20&#22312;%20&#27827;&#21271;&#30465;&#36130;&#25919;&#21381;&#20915;&#31639;&#65288;&#20844;&#24320;&#26684;&#24335;&#65289;.doc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2270;&#34920;%20&#22312;%20&#27827;&#21271;&#30465;&#36130;&#25919;&#21381;&#20915;&#31639;&#65288;&#20844;&#24320;&#26684;&#24335;&#65289;.doc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DOCUME~1\ADMINI~1\LOCALS~1\Temp\wps.wc6324\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支出构成情况</a:t>
            </a:r>
          </a:p>
        </c:rich>
      </c:tx>
      <c:layout/>
      <c:overlay val="0"/>
      <c:spPr>
        <a:noFill/>
        <a:ln>
          <a:noFill/>
        </a:ln>
        <a:effectLst/>
      </c:spPr>
    </c:title>
    <c:autoTitleDeleted val="0"/>
    <c:plotArea>
      <c:layout/>
      <c:doughnutChart>
        <c:varyColors val="1"/>
        <c:ser>
          <c:idx val="0"/>
          <c:order val="0"/>
          <c:tx>
            <c:strRef>
              <c:f>'[图表 在 河北省财政厅决算（公开格式）.doc1]Sheet1'!$B$3</c:f>
              <c:strCache>
                <c:ptCount val="1"/>
                <c:pt idx="0">
                  <c:v>基本支出</c:v>
                </c:pt>
              </c:strCache>
            </c:strRef>
          </c:tx>
          <c:spPr/>
          <c:explosion val="0"/>
          <c:dPt>
            <c:idx val="0"/>
            <c:bubble3D val="0"/>
            <c:spPr>
              <a:solidFill>
                <a:schemeClr val="accent5"/>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'[图表 在 河北省财政厅决算（公开格式）.doc1]Sheet1'!$C$2</c:f>
              <c:strCache>
                <c:ptCount val="1"/>
                <c:pt idx="0">
                  <c:v>基本支出占100%</c:v>
                </c:pt>
              </c:strCache>
            </c:strRef>
          </c:cat>
          <c:val>
            <c:numRef>
              <c:f>'[图表 在 河北省财政厅决算（公开格式）.doc1]Sheet1'!$C$3</c:f>
              <c:numCache>
                <c:formatCode>0%</c:formatCode>
                <c:ptCount val="1"/>
                <c:pt idx="0">
                  <c:v>1</c:v>
                </c:pt>
              </c:numCache>
            </c:numRef>
          </c:val>
        </c:ser>
        <c:ser>
          <c:idx val="1"/>
          <c:order val="1"/>
          <c:tx>
            <c:strRef>
              <c:f>'[图表 在 河北省财政厅决算（公开格式）.doc1]Sheet1'!$B$4</c:f>
              <c:strCache>
                <c:ptCount val="1"/>
                <c:pt idx="0">
                  <c:v>项目支出</c:v>
                </c:pt>
              </c:strCache>
            </c:strRef>
          </c:tx>
          <c:spPr/>
          <c:explosion val="0"/>
          <c:dPt>
            <c:idx val="0"/>
            <c:bubble3D val="0"/>
            <c:spPr>
              <a:solidFill>
                <a:schemeClr val="accent5"/>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'[图表 在 河北省财政厅决算（公开格式）.doc1]Sheet1'!$C$2</c:f>
              <c:strCache>
                <c:ptCount val="1"/>
                <c:pt idx="0">
                  <c:v>基本支出占100%</c:v>
                </c:pt>
              </c:strCache>
            </c:strRef>
          </c:cat>
          <c:val>
            <c:numRef>
              <c:f>'[图表 在 河北省财政厅决算（公开格式）.doc1]Sheet1'!$C$4</c:f>
              <c:numCache>
                <c:formatCode>General</c:formatCode>
                <c:ptCount val="1"/>
                <c:pt idx="0">
                  <c:v>0</c:v>
                </c:pt>
              </c:numCache>
            </c:numRef>
          </c:val>
        </c:ser>
        <c:ser>
          <c:idx val="2"/>
          <c:order val="2"/>
          <c:tx>
            <c:strRef>
              <c:f>'[图表 在 河北省财政厅决算（公开格式）.doc1]Sheet1'!$B$5</c:f>
              <c:strCache>
                <c:ptCount val="1"/>
                <c:pt idx="0">
                  <c:v>上缴上级支出</c:v>
                </c:pt>
              </c:strCache>
            </c:strRef>
          </c:tx>
          <c:spPr/>
          <c:explosion val="0"/>
          <c:dPt>
            <c:idx val="0"/>
            <c:bubble3D val="0"/>
            <c:spPr>
              <a:solidFill>
                <a:schemeClr val="accent5"/>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'[图表 在 河北省财政厅决算（公开格式）.doc1]Sheet1'!$C$2</c:f>
              <c:strCache>
                <c:ptCount val="1"/>
                <c:pt idx="0">
                  <c:v>基本支出占100%</c:v>
                </c:pt>
              </c:strCache>
            </c:strRef>
          </c:cat>
          <c:val>
            <c:numRef>
              <c:f>'[图表 在 河北省财政厅决算（公开格式）.doc1]Sheet1'!$C$5</c:f>
              <c:numCache>
                <c:formatCode>General</c:formatCode>
                <c:ptCount val="1"/>
                <c:pt idx="0">
                  <c:v>0</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sz="1000"/>
              <a:t>2017-2018</a:t>
            </a:r>
            <a:r>
              <a:rPr altLang="en-US" sz="1000"/>
              <a:t>收支情况对比</a:t>
            </a:r>
            <a:endParaRPr altLang="en-US" sz="1000"/>
          </a:p>
        </c:rich>
      </c:tx>
      <c:layout/>
      <c:overlay val="0"/>
      <c:spPr>
        <a:noFill/>
        <a:ln>
          <a:noFill/>
        </a:ln>
        <a:effectLst/>
      </c:spPr>
    </c:title>
    <c:autoTitleDeleted val="0"/>
    <c:plotArea>
      <c:layout>
        <c:manualLayout>
          <c:layoutTarget val="inner"/>
          <c:xMode val="edge"/>
          <c:yMode val="edge"/>
          <c:x val="0.077583081570997"/>
          <c:y val="0.305591615232652"/>
          <c:w val="0.852604548789435"/>
          <c:h val="0.503919781221513"/>
        </c:manualLayout>
      </c:layout>
      <c:barChart>
        <c:barDir val="col"/>
        <c:grouping val="clustered"/>
        <c:varyColors val="0"/>
        <c:ser>
          <c:idx val="0"/>
          <c:order val="0"/>
          <c:tx>
            <c:strRef>
              <c:f>'[图表 在 河北省财政厅决算（公开格式）.doc1]Sheet1'!$A$3</c:f>
              <c:strCache>
                <c:ptCount val="1"/>
                <c:pt idx="0">
                  <c:v>2018年</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 在 河北省财政厅决算（公开格式）.doc1]Sheet1'!$B$2:$C$2</c:f>
              <c:strCache>
                <c:ptCount val="2"/>
                <c:pt idx="0">
                  <c:v>财政拨款收入</c:v>
                </c:pt>
                <c:pt idx="1">
                  <c:v>财政拨款支出</c:v>
                </c:pt>
              </c:strCache>
            </c:strRef>
          </c:cat>
          <c:val>
            <c:numRef>
              <c:f>'[图表 在 河北省财政厅决算（公开格式）.doc1]Sheet1'!$B$3:$C$3</c:f>
              <c:numCache>
                <c:formatCode>General</c:formatCode>
                <c:ptCount val="2"/>
                <c:pt idx="0">
                  <c:v>107.24</c:v>
                </c:pt>
                <c:pt idx="1">
                  <c:v>105.33</c:v>
                </c:pt>
              </c:numCache>
            </c:numRef>
          </c:val>
        </c:ser>
        <c:ser>
          <c:idx val="1"/>
          <c:order val="1"/>
          <c:tx>
            <c:strRef>
              <c:f>'[图表 在 河北省财政厅决算（公开格式）.doc1]Sheet1'!$A$4</c:f>
              <c:strCache>
                <c:ptCount val="1"/>
                <c:pt idx="0">
                  <c:v>2017年</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 在 河北省财政厅决算（公开格式）.doc1]Sheet1'!$B$2:$C$2</c:f>
              <c:strCache>
                <c:ptCount val="2"/>
                <c:pt idx="0">
                  <c:v>财政拨款收入</c:v>
                </c:pt>
                <c:pt idx="1">
                  <c:v>财政拨款支出</c:v>
                </c:pt>
              </c:strCache>
            </c:strRef>
          </c:cat>
          <c:val>
            <c:numRef>
              <c:f>'[图表 在 河北省财政厅决算（公开格式）.doc1]Sheet1'!$B$4:$C$4</c:f>
              <c:numCache>
                <c:formatCode>General</c:formatCode>
                <c:ptCount val="2"/>
                <c:pt idx="0">
                  <c:v>158.54</c:v>
                </c:pt>
                <c:pt idx="1">
                  <c:v>158.54</c:v>
                </c:pt>
              </c:numCache>
            </c:numRef>
          </c:val>
        </c:ser>
        <c:dLbls>
          <c:showLegendKey val="0"/>
          <c:showVal val="1"/>
          <c:showCatName val="0"/>
          <c:showSerName val="0"/>
          <c:showPercent val="0"/>
          <c:showBubbleSize val="0"/>
        </c:dLbls>
        <c:gapWidth val="75"/>
        <c:overlap val="0"/>
        <c:axId val="982156253"/>
        <c:axId val="713677968"/>
      </c:barChart>
      <c:catAx>
        <c:axId val="98215625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3677968"/>
        <c:crosses val="autoZero"/>
        <c:auto val="1"/>
        <c:lblAlgn val="ctr"/>
        <c:lblOffset val="100"/>
        <c:noMultiLvlLbl val="0"/>
      </c:catAx>
      <c:valAx>
        <c:axId val="713677968"/>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821562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sz="1000"/>
              <a:t>2017-2018</a:t>
            </a:r>
            <a:r>
              <a:rPr altLang="en-US" sz="1000"/>
              <a:t>收支情况对比</a:t>
            </a:r>
            <a:endParaRPr altLang="en-US" sz="1000"/>
          </a:p>
        </c:rich>
      </c:tx>
      <c:layout/>
      <c:overlay val="0"/>
      <c:spPr>
        <a:noFill/>
        <a:ln>
          <a:noFill/>
        </a:ln>
        <a:effectLst/>
      </c:spPr>
    </c:title>
    <c:autoTitleDeleted val="0"/>
    <c:plotArea>
      <c:layout/>
      <c:barChart>
        <c:barDir val="col"/>
        <c:grouping val="clustered"/>
        <c:varyColors val="0"/>
        <c:ser>
          <c:idx val="0"/>
          <c:order val="0"/>
          <c:tx>
            <c:strRef>
              <c:f>'[图表 在 河北省财政厅决算（公开格式）.doc1]Sheet1'!$A$3</c:f>
              <c:strCache>
                <c:ptCount val="1"/>
                <c:pt idx="0">
                  <c:v>年初预算数</c:v>
                </c:pt>
              </c:strCache>
            </c:strRef>
          </c:tx>
          <c:spPr>
            <a:solidFill>
              <a:srgbClr val="4F81BD"/>
            </a:solidFill>
            <a:ln>
              <a:noFill/>
            </a:ln>
            <a:effectLst/>
          </c:spPr>
          <c:invertIfNegative val="0"/>
          <c:dLbls>
            <c:delete val="1"/>
          </c:dLbls>
          <c:cat>
            <c:strRef>
              <c:f>'[图表 在 河北省财政厅决算（公开格式）.doc1]Sheet1'!$B$2:$C$2</c:f>
              <c:strCache>
                <c:ptCount val="2"/>
                <c:pt idx="0">
                  <c:v>一般公共预算收入</c:v>
                </c:pt>
                <c:pt idx="1">
                  <c:v>一般公共预算支出</c:v>
                </c:pt>
              </c:strCache>
            </c:strRef>
          </c:cat>
          <c:val>
            <c:numRef>
              <c:f>'[图表 在 河北省财政厅决算（公开格式）.doc1]Sheet1'!$B$3:$C$3</c:f>
              <c:numCache>
                <c:formatCode>General</c:formatCode>
                <c:ptCount val="2"/>
                <c:pt idx="0">
                  <c:v>149.95</c:v>
                </c:pt>
                <c:pt idx="1">
                  <c:v>149.95</c:v>
                </c:pt>
              </c:numCache>
            </c:numRef>
          </c:val>
        </c:ser>
        <c:ser>
          <c:idx val="1"/>
          <c:order val="1"/>
          <c:tx>
            <c:strRef>
              <c:f>'[图表 在 河北省财政厅决算（公开格式）.doc1]Sheet1'!$A$4</c:f>
              <c:strCache>
                <c:ptCount val="1"/>
                <c:pt idx="0">
                  <c:v>决算数</c:v>
                </c:pt>
              </c:strCache>
            </c:strRef>
          </c:tx>
          <c:spPr>
            <a:solidFill>
              <a:srgbClr val="C0504D"/>
            </a:solidFill>
            <a:ln>
              <a:noFill/>
            </a:ln>
            <a:effectLst/>
          </c:spPr>
          <c:invertIfNegative val="0"/>
          <c:dLbls>
            <c:delete val="1"/>
          </c:dLbls>
          <c:cat>
            <c:strRef>
              <c:f>'[图表 在 河北省财政厅决算（公开格式）.doc1]Sheet1'!$B$2:$C$2</c:f>
              <c:strCache>
                <c:ptCount val="2"/>
                <c:pt idx="0">
                  <c:v>一般公共预算收入</c:v>
                </c:pt>
                <c:pt idx="1">
                  <c:v>一般公共预算支出</c:v>
                </c:pt>
              </c:strCache>
            </c:strRef>
          </c:cat>
          <c:val>
            <c:numRef>
              <c:f>'[图表 在 河北省财政厅决算（公开格式）.doc1]Sheet1'!$B$4:$C$4</c:f>
              <c:numCache>
                <c:formatCode>General</c:formatCode>
                <c:ptCount val="2"/>
                <c:pt idx="0">
                  <c:v>107.24</c:v>
                </c:pt>
                <c:pt idx="1">
                  <c:v>105.33</c:v>
                </c:pt>
              </c:numCache>
            </c:numRef>
          </c:val>
        </c:ser>
        <c:dLbls>
          <c:showLegendKey val="0"/>
          <c:showVal val="0"/>
          <c:showCatName val="0"/>
          <c:showSerName val="0"/>
          <c:showPercent val="0"/>
          <c:showBubbleSize val="0"/>
        </c:dLbls>
        <c:gapWidth val="150"/>
        <c:overlap val="0"/>
        <c:axId val="982156253"/>
        <c:axId val="713677968"/>
      </c:barChart>
      <c:catAx>
        <c:axId val="98215625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13677968"/>
        <c:crosses val="autoZero"/>
        <c:auto val="1"/>
        <c:lblAlgn val="ctr"/>
        <c:lblOffset val="100"/>
        <c:noMultiLvlLbl val="0"/>
      </c:catAx>
      <c:valAx>
        <c:axId val="713677968"/>
        <c:scaling>
          <c:orientation val="minMax"/>
        </c:scaling>
        <c:delete val="0"/>
        <c:axPos val="l"/>
        <c:majorGridlines>
          <c:spPr>
            <a:ln w="9525" cap="flat" cmpd="sng" algn="ctr">
              <a:solidFill>
                <a:srgbClr val="D9D9D9">
                  <a:lumMod val="15000"/>
                  <a:lumOff val="85000"/>
                </a:srgb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rgbClr val="595959">
                      <a:lumMod val="65000"/>
                      <a:lumOff val="35000"/>
                    </a:srgb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82156253"/>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dTable>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sz="1000"/>
              <a:t>财政拨款支出决算结构（按功能分类）</a:t>
            </a:r>
            <a:endParaRPr altLang="en-US" sz="1000"/>
          </a:p>
        </c:rich>
      </c:tx>
      <c:layout/>
      <c:overlay val="0"/>
      <c:spPr>
        <a:noFill/>
        <a:ln>
          <a:noFill/>
        </a:ln>
        <a:effectLst/>
      </c:spPr>
    </c:title>
    <c:autoTitleDeleted val="0"/>
    <c:plotArea>
      <c:layout/>
      <c:ofPieChart>
        <c:ofPieType val="bar"/>
        <c:varyColors val="1"/>
        <c:ser>
          <c:idx val="0"/>
          <c:order val="0"/>
          <c:tx>
            <c:strRef>
              <c:f>'[图表 在 河北省财政厅决算（公开格式）.doc1]Sheet1'!$A$3</c:f>
              <c:strCache>
                <c:ptCount val="1"/>
                <c:pt idx="0">
                  <c:v>年初预算数</c:v>
                </c:pt>
              </c:strCache>
            </c:strRef>
          </c:tx>
          <c:spPr/>
          <c:explosion val="0"/>
          <c:dPt>
            <c:idx val="0"/>
            <c:bubble3D val="0"/>
            <c:spPr>
              <a:solidFill>
                <a:srgbClr val="4F81BD"/>
              </a:solidFill>
              <a:ln>
                <a:noFill/>
              </a:ln>
              <a:effectLst/>
            </c:spPr>
          </c:dPt>
          <c:dPt>
            <c:idx val="1"/>
            <c:bubble3D val="0"/>
            <c:spPr>
              <a:solidFill>
                <a:srgbClr val="C0504D"/>
              </a:solidFill>
              <a:ln>
                <a:noFill/>
              </a:ln>
              <a:effectLst/>
            </c:spPr>
          </c:dPt>
          <c:dPt>
            <c:idx val="2"/>
            <c:bubble3D val="0"/>
            <c:spPr>
              <a:solidFill>
                <a:srgbClr val="9BBB59"/>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 在 河北省财政厅决算（公开格式）.doc1]Sheet1'!$B$2:$C$2</c:f>
              <c:strCache>
                <c:ptCount val="2"/>
                <c:pt idx="0">
                  <c:v>医疗卫生与计划生育支出</c:v>
                </c:pt>
                <c:pt idx="1">
                  <c:v>社会保障和就业支出</c:v>
                </c:pt>
              </c:strCache>
            </c:strRef>
          </c:cat>
          <c:val>
            <c:numRef>
              <c:f>'[图表 在 河北省财政厅决算（公开格式）.doc1]Sheet1'!$B$3:$C$3</c:f>
              <c:numCache>
                <c:formatCode>0.00%</c:formatCode>
                <c:ptCount val="2"/>
                <c:pt idx="0">
                  <c:v>0.9363</c:v>
                </c:pt>
                <c:pt idx="1">
                  <c:v>0.0637</c:v>
                </c:pt>
              </c:numCache>
            </c:numRef>
          </c:val>
        </c:ser>
        <c:ser>
          <c:idx val="1"/>
          <c:order val="1"/>
          <c:tx>
            <c:strRef>
              <c:f>'[图表 在 河北省财政厅决算（公开格式）.doc1]Sheet1'!$A$4</c:f>
              <c:strCache>
                <c:ptCount val="1"/>
                <c:pt idx="0">
                  <c:v>决算数</c:v>
                </c:pt>
              </c:strCache>
            </c:strRef>
          </c:tx>
          <c:spPr/>
          <c:explosion val="0"/>
          <c:dPt>
            <c:idx val="0"/>
            <c:bubble3D val="0"/>
            <c:spPr>
              <a:solidFill>
                <a:srgbClr val="4F81BD"/>
              </a:solidFill>
              <a:ln>
                <a:noFill/>
              </a:ln>
              <a:effectLst/>
            </c:spPr>
          </c:dPt>
          <c:dPt>
            <c:idx val="1"/>
            <c:bubble3D val="0"/>
            <c:spPr>
              <a:solidFill>
                <a:srgbClr val="C0504D"/>
              </a:solidFill>
              <a:ln>
                <a:noFill/>
              </a:ln>
              <a:effectLst/>
            </c:spPr>
          </c:dPt>
          <c:dPt>
            <c:idx val="2"/>
            <c:bubble3D val="0"/>
            <c:spPr>
              <a:solidFill>
                <a:srgbClr val="9BBB59"/>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 在 河北省财政厅决算（公开格式）.doc1]Sheet1'!$B$2:$C$2</c:f>
              <c:strCache>
                <c:ptCount val="2"/>
                <c:pt idx="0">
                  <c:v>医疗卫生与计划生育支出</c:v>
                </c:pt>
                <c:pt idx="1">
                  <c:v>社会保障和就业支出</c:v>
                </c:pt>
              </c:strCache>
            </c:strRef>
          </c:cat>
          <c:val>
            <c:numRef>
              <c:f>'[图表 在 河北省财政厅决算（公开格式）.doc1]Sheet1'!$B$4:$C$4</c:f>
              <c:numCache>
                <c:formatCode>General</c:formatCode>
                <c:ptCount val="2"/>
              </c:numCache>
            </c:numRef>
          </c:val>
        </c:ser>
        <c:dLbls>
          <c:showLegendKey val="0"/>
          <c:showVal val="0"/>
          <c:showCatName val="0"/>
          <c:showSerName val="0"/>
          <c:showPercent val="1"/>
          <c:showBubbleSize val="0"/>
          <c:showLeaderLines val="1"/>
        </c:dLbls>
        <c:gapWidth val="150"/>
        <c:secondPieSize val="75"/>
        <c:serLines>
          <c:spPr>
            <a:ln w="9525" cap="flat" cmpd="sng" algn="ctr">
              <a:solidFill>
                <a:srgbClr val="A6A6A6">
                  <a:lumMod val="35000"/>
                  <a:lumOff val="65000"/>
                </a:srgbClr>
              </a:solidFill>
              <a:round/>
            </a:ln>
            <a:effectLst/>
          </c:spPr>
        </c:serLines>
      </c:ofPieChart>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dTable>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972222222222"/>
          <c:y val="0.176388888888889"/>
          <c:w val="0.732555555555556"/>
          <c:h val="0.603796296296296"/>
        </c:manualLayout>
      </c:layout>
      <c:barChart>
        <c:barDir val="bar"/>
        <c:grouping val="clustered"/>
        <c:varyColors val="0"/>
        <c:ser>
          <c:idx val="0"/>
          <c:order val="0"/>
          <c:tx>
            <c:strRef>
              <c:f>[Workbook1.xlsx]Sheet1!$B$1</c:f>
              <c:strCache>
                <c:ptCount val="1"/>
                <c:pt idx="0">
                  <c:v>预算数</c:v>
                </c:pt>
              </c:strCache>
            </c:strRef>
          </c:tx>
          <c:spPr>
            <a:solidFill>
              <a:schemeClr val="accent1"/>
            </a:solidFill>
            <a:ln>
              <a:noFill/>
            </a:ln>
            <a:effectLst/>
          </c:spPr>
          <c:invertIfNegative val="0"/>
          <c:dLbls>
            <c:delete val="1"/>
          </c:dLbls>
          <c:cat>
            <c:strRef>
              <c:f>[Workbook1.xlsx]Sheet1!$A$2:$A$5</c:f>
              <c:strCache>
                <c:ptCount val="4"/>
                <c:pt idx="0">
                  <c:v>因公出国（境）费</c:v>
                </c:pt>
                <c:pt idx="1">
                  <c:v>公务用车购置费</c:v>
                </c:pt>
                <c:pt idx="2">
                  <c:v>公务用车运行费</c:v>
                </c:pt>
                <c:pt idx="3">
                  <c:v>公务用车接待费</c:v>
                </c:pt>
              </c:strCache>
            </c:strRef>
          </c:cat>
          <c:val>
            <c:numRef>
              <c:f>[Workbook1.xlsx]Sheet1!$B$2:$B$5</c:f>
              <c:numCache>
                <c:formatCode>General</c:formatCode>
                <c:ptCount val="4"/>
                <c:pt idx="0">
                  <c:v>0</c:v>
                </c:pt>
                <c:pt idx="1">
                  <c:v>0</c:v>
                </c:pt>
                <c:pt idx="2">
                  <c:v>0</c:v>
                </c:pt>
                <c:pt idx="3">
                  <c:v>0</c:v>
                </c:pt>
              </c:numCache>
            </c:numRef>
          </c:val>
        </c:ser>
        <c:ser>
          <c:idx val="1"/>
          <c:order val="1"/>
          <c:tx>
            <c:strRef>
              <c:f>[Workbook1.xlsx]Sheet1!$C$1</c:f>
              <c:strCache>
                <c:ptCount val="1"/>
                <c:pt idx="0">
                  <c:v>决算数</c:v>
                </c:pt>
              </c:strCache>
            </c:strRef>
          </c:tx>
          <c:spPr>
            <a:solidFill>
              <a:schemeClr val="accent2"/>
            </a:solidFill>
            <a:ln>
              <a:noFill/>
            </a:ln>
            <a:effectLst/>
          </c:spPr>
          <c:invertIfNegative val="0"/>
          <c:dLbls>
            <c:delete val="1"/>
          </c:dLbls>
          <c:cat>
            <c:strRef>
              <c:f>[Workbook1.xlsx]Sheet1!$A$2:$A$5</c:f>
              <c:strCache>
                <c:ptCount val="4"/>
                <c:pt idx="0">
                  <c:v>因公出国（境）费</c:v>
                </c:pt>
                <c:pt idx="1">
                  <c:v>公务用车购置费</c:v>
                </c:pt>
                <c:pt idx="2">
                  <c:v>公务用车运行费</c:v>
                </c:pt>
                <c:pt idx="3">
                  <c:v>公务用车接待费</c:v>
                </c:pt>
              </c:strCache>
            </c:strRef>
          </c:cat>
          <c:val>
            <c:numRef>
              <c:f>[Workbook1.xlsx]Sheet1!$C$2:$C$5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82"/>
        <c:overlap val="0"/>
        <c:axId val="717146629"/>
        <c:axId val="836249955"/>
      </c:barChart>
      <c:catAx>
        <c:axId val="717146629"/>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6249955"/>
        <c:crosses val="autoZero"/>
        <c:auto val="1"/>
        <c:lblAlgn val="ctr"/>
        <c:lblOffset val="100"/>
        <c:noMultiLvlLbl val="0"/>
      </c:catAx>
      <c:valAx>
        <c:axId val="8362499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1466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2019-10-21T07:16:00Z</dcterms:created>
  <dc:creator>蕾蕾</dc:creator>
  <cp:lastModifiedBy>Administrator</cp:lastModifiedBy>
  <cp:lastPrinted>2019-10-22T01:52:00Z</cp:lastPrinted>
  <dcterms:modified xsi:type="dcterms:W3CDTF">2019-10-23T09:22:14Z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