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826" w:lineRule="exact"/>
        <w:ind w:left="1228" w:right="1208"/>
        <w:jc w:val="center"/>
        <w:rPr>
          <w:rFonts w:ascii="微软雅黑" w:hAnsi="微软雅黑" w:eastAsia="微软雅黑" w:cs="微软雅黑"/>
          <w:w w:val="85"/>
          <w:position w:val="2"/>
          <w:sz w:val="72"/>
          <w:szCs w:val="72"/>
          <w:lang w:eastAsia="zh-CN"/>
        </w:rPr>
      </w:pPr>
      <w:bookmarkStart w:id="0" w:name="_GoBack"/>
      <w:bookmarkEnd w:id="0"/>
    </w:p>
    <w:p>
      <w:pPr>
        <w:spacing w:after="0" w:line="826" w:lineRule="exact"/>
        <w:ind w:left="1228" w:right="1208"/>
        <w:jc w:val="center"/>
        <w:rPr>
          <w:rFonts w:ascii="微软雅黑" w:hAnsi="微软雅黑" w:eastAsia="微软雅黑" w:cs="微软雅黑"/>
          <w:w w:val="85"/>
          <w:position w:val="2"/>
          <w:sz w:val="72"/>
          <w:szCs w:val="72"/>
          <w:lang w:eastAsia="zh-CN"/>
        </w:rPr>
      </w:pPr>
    </w:p>
    <w:p>
      <w:pPr>
        <w:spacing w:after="0" w:line="826" w:lineRule="exact"/>
        <w:ind w:left="1228" w:right="1208"/>
        <w:jc w:val="center"/>
        <w:rPr>
          <w:rFonts w:ascii="微软雅黑" w:hAnsi="微软雅黑" w:eastAsia="微软雅黑" w:cs="微软雅黑"/>
          <w:w w:val="85"/>
          <w:position w:val="2"/>
          <w:sz w:val="72"/>
          <w:szCs w:val="72"/>
          <w:lang w:eastAsia="zh-CN"/>
        </w:rPr>
      </w:pPr>
    </w:p>
    <w:p>
      <w:pPr>
        <w:spacing w:after="0" w:line="826" w:lineRule="exact"/>
        <w:ind w:left="1228" w:right="1208"/>
        <w:jc w:val="center"/>
        <w:rPr>
          <w:rFonts w:hint="eastAsia" w:ascii="微软雅黑" w:hAnsi="微软雅黑" w:eastAsia="微软雅黑" w:cs="微软雅黑"/>
          <w:position w:val="2"/>
          <w:sz w:val="72"/>
          <w:szCs w:val="72"/>
          <w:lang w:eastAsia="zh-CN"/>
        </w:rPr>
      </w:pPr>
      <w:r>
        <w:rPr>
          <w:rFonts w:ascii="微软雅黑" w:hAnsi="微软雅黑" w:eastAsia="微软雅黑" w:cs="微软雅黑"/>
          <w:w w:val="85"/>
          <w:position w:val="2"/>
          <w:sz w:val="72"/>
          <w:szCs w:val="72"/>
          <w:lang w:eastAsia="zh-CN"/>
        </w:rPr>
        <w:t>201</w:t>
      </w:r>
      <w:r>
        <w:rPr>
          <w:rFonts w:hint="eastAsia" w:ascii="微软雅黑" w:hAnsi="微软雅黑" w:eastAsia="微软雅黑" w:cs="微软雅黑"/>
          <w:w w:val="85"/>
          <w:position w:val="2"/>
          <w:sz w:val="72"/>
          <w:szCs w:val="72"/>
          <w:lang w:val="en-US" w:eastAsia="zh-CN"/>
        </w:rPr>
        <w:t>7</w:t>
      </w:r>
      <w:r>
        <w:rPr>
          <w:rFonts w:ascii="微软雅黑" w:hAnsi="微软雅黑" w:eastAsia="微软雅黑" w:cs="微软雅黑"/>
          <w:spacing w:val="-1"/>
          <w:w w:val="85"/>
          <w:position w:val="2"/>
          <w:sz w:val="72"/>
          <w:szCs w:val="72"/>
          <w:lang w:eastAsia="zh-CN"/>
        </w:rPr>
        <w:t xml:space="preserve"> </w:t>
      </w:r>
      <w:r>
        <w:rPr>
          <w:rFonts w:hint="eastAsia" w:ascii="微软雅黑" w:hAnsi="微软雅黑" w:eastAsia="微软雅黑" w:cs="微软雅黑"/>
          <w:position w:val="2"/>
          <w:sz w:val="72"/>
          <w:szCs w:val="72"/>
          <w:lang w:eastAsia="zh-CN"/>
        </w:rPr>
        <w:t>年度</w:t>
      </w:r>
    </w:p>
    <w:p>
      <w:pPr>
        <w:spacing w:after="0" w:line="826" w:lineRule="exact"/>
        <w:ind w:left="1228" w:right="1208"/>
        <w:jc w:val="center"/>
        <w:rPr>
          <w:rFonts w:hint="eastAsia" w:ascii="微软雅黑" w:hAnsi="微软雅黑" w:eastAsia="微软雅黑" w:cs="微软雅黑"/>
          <w:position w:val="2"/>
          <w:sz w:val="72"/>
          <w:szCs w:val="72"/>
          <w:lang w:eastAsia="zh-CN"/>
        </w:rPr>
      </w:pPr>
    </w:p>
    <w:p>
      <w:pPr>
        <w:spacing w:after="0" w:line="826" w:lineRule="exact"/>
        <w:ind w:left="1228" w:right="1208"/>
        <w:jc w:val="center"/>
        <w:rPr>
          <w:rFonts w:ascii="微软雅黑" w:hAnsi="微软雅黑" w:eastAsia="微软雅黑" w:cs="微软雅黑"/>
          <w:sz w:val="72"/>
          <w:szCs w:val="72"/>
          <w:lang w:eastAsia="zh-CN"/>
        </w:rPr>
      </w:pPr>
      <w:r>
        <w:rPr>
          <w:rFonts w:hint="eastAsia" w:ascii="微软雅黑" w:hAnsi="微软雅黑" w:eastAsia="微软雅黑" w:cs="微软雅黑"/>
          <w:position w:val="2"/>
          <w:sz w:val="72"/>
          <w:szCs w:val="72"/>
          <w:lang w:eastAsia="zh-CN"/>
        </w:rPr>
        <w:t>部门决算公开</w:t>
      </w:r>
    </w:p>
    <w:p>
      <w:pPr>
        <w:spacing w:before="7" w:after="0" w:line="140" w:lineRule="exact"/>
        <w:rPr>
          <w:sz w:val="14"/>
          <w:szCs w:val="14"/>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40" w:lineRule="auto"/>
        <w:ind w:left="1724" w:leftChars="0" w:right="-94" w:rightChars="0" w:hanging="1724" w:hangingChars="539"/>
        <w:jc w:val="center"/>
        <w:rPr>
          <w:rFonts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南宫市段芦头镇人民政府编制</w:t>
      </w:r>
    </w:p>
    <w:p>
      <w:pPr>
        <w:spacing w:before="4" w:after="0" w:line="150" w:lineRule="exact"/>
        <w:rPr>
          <w:sz w:val="15"/>
          <w:szCs w:val="15"/>
          <w:lang w:eastAsia="zh-CN"/>
        </w:rPr>
      </w:pPr>
    </w:p>
    <w:p>
      <w:pPr>
        <w:spacing w:after="0" w:line="240" w:lineRule="auto"/>
        <w:ind w:right="-94" w:rightChars="0"/>
        <w:jc w:val="both"/>
        <w:rPr>
          <w:rFonts w:ascii="楷体_GB2312" w:hAnsi="楷体_GB2312" w:eastAsia="楷体_GB2312" w:cs="楷体_GB2312"/>
          <w:sz w:val="32"/>
          <w:szCs w:val="32"/>
          <w:u w:val="thick"/>
          <w:lang w:val="en-US" w:eastAsia="zh-CN"/>
        </w:rPr>
      </w:pPr>
      <w:r>
        <w:rPr>
          <w:rFonts w:hint="eastAsia" w:ascii="楷体_GB2312" w:hAnsi="楷体_GB2312" w:eastAsia="楷体_GB2312" w:cs="楷体_GB2312"/>
          <w:sz w:val="32"/>
          <w:szCs w:val="32"/>
          <w:lang w:val="en-US" w:eastAsia="zh-CN"/>
        </w:rPr>
        <w:t xml:space="preserve">             单位负责人：</w:t>
      </w:r>
      <w:r>
        <w:rPr>
          <w:rFonts w:hint="eastAsia" w:ascii="楷体_GB2312" w:hAnsi="楷体_GB2312" w:eastAsia="楷体_GB2312" w:cs="楷体_GB2312"/>
          <w:sz w:val="32"/>
          <w:szCs w:val="32"/>
          <w:u w:val="single"/>
          <w:lang w:val="en-US" w:eastAsia="zh-CN"/>
        </w:rPr>
        <w:t xml:space="preserve">              </w:t>
      </w:r>
    </w:p>
    <w:p>
      <w:pPr>
        <w:widowControl/>
        <w:spacing w:line="580" w:lineRule="exact"/>
        <w:jc w:val="center"/>
        <w:rPr>
          <w:rFonts w:hint="eastAsia" w:ascii="仿宋" w:hAnsi="仿宋" w:eastAsia="仿宋" w:cs="宋体"/>
          <w:b/>
          <w:bCs/>
          <w:kern w:val="0"/>
          <w:sz w:val="36"/>
          <w:szCs w:val="36"/>
        </w:rPr>
      </w:pPr>
    </w:p>
    <w:p>
      <w:pPr>
        <w:widowControl/>
        <w:spacing w:line="580" w:lineRule="exact"/>
        <w:jc w:val="center"/>
        <w:rPr>
          <w:rFonts w:hint="eastAsia" w:ascii="仿宋" w:hAnsi="仿宋" w:eastAsia="仿宋" w:cs="宋体"/>
          <w:b/>
          <w:bCs/>
          <w:kern w:val="0"/>
          <w:sz w:val="36"/>
          <w:szCs w:val="36"/>
        </w:rPr>
        <w:sectPr>
          <w:pgSz w:w="11906" w:h="16838"/>
          <w:pgMar w:top="1440" w:right="1800" w:bottom="1440" w:left="1800" w:header="851" w:footer="992" w:gutter="0"/>
          <w:cols w:space="425" w:num="1"/>
          <w:docGrid w:type="lines" w:linePitch="312" w:charSpace="0"/>
        </w:sectPr>
      </w:pPr>
    </w:p>
    <w:p>
      <w:pPr>
        <w:widowControl/>
        <w:spacing w:line="580" w:lineRule="exact"/>
        <w:jc w:val="center"/>
        <w:rPr>
          <w:rFonts w:ascii="仿宋" w:hAnsi="仿宋" w:eastAsia="仿宋" w:cs="宋体"/>
          <w:kern w:val="0"/>
          <w:sz w:val="32"/>
          <w:szCs w:val="32"/>
        </w:rPr>
      </w:pPr>
      <w:r>
        <w:rPr>
          <w:rFonts w:hint="eastAsia" w:ascii="仿宋" w:hAnsi="仿宋" w:eastAsia="仿宋" w:cs="宋体"/>
          <w:b/>
          <w:bCs/>
          <w:kern w:val="0"/>
          <w:sz w:val="36"/>
          <w:szCs w:val="36"/>
        </w:rPr>
        <w:t>目 录</w:t>
      </w:r>
    </w:p>
    <w:p>
      <w:pPr>
        <w:widowControl/>
        <w:spacing w:line="580" w:lineRule="exact"/>
        <w:ind w:firstLine="640" w:firstLineChars="200"/>
        <w:jc w:val="left"/>
        <w:rPr>
          <w:rFonts w:ascii="仿宋" w:hAnsi="仿宋" w:eastAsia="仿宋" w:cs="宋体"/>
          <w:kern w:val="0"/>
          <w:sz w:val="24"/>
        </w:rPr>
      </w:pPr>
      <w:r>
        <w:rPr>
          <w:rFonts w:ascii="Calibri" w:hAnsi="Calibri" w:eastAsia="仿宋" w:cs="Calibri"/>
          <w:kern w:val="0"/>
          <w:sz w:val="32"/>
          <w:szCs w:val="32"/>
        </w:rPr>
        <w:t> </w:t>
      </w:r>
    </w:p>
    <w:p>
      <w:pPr>
        <w:widowControl/>
        <w:numPr>
          <w:ilvl w:val="0"/>
          <w:numId w:val="1"/>
        </w:numPr>
        <w:spacing w:line="580" w:lineRule="exact"/>
        <w:jc w:val="left"/>
        <w:rPr>
          <w:rFonts w:ascii="仿宋" w:hAnsi="仿宋" w:eastAsia="仿宋" w:cs="宋体"/>
          <w:kern w:val="0"/>
          <w:sz w:val="32"/>
          <w:szCs w:val="32"/>
        </w:rPr>
      </w:pPr>
      <w:r>
        <w:rPr>
          <w:rFonts w:hint="eastAsia" w:ascii="仿宋" w:hAnsi="仿宋" w:eastAsia="仿宋"/>
          <w:kern w:val="0"/>
          <w:sz w:val="32"/>
          <w:szCs w:val="32"/>
        </w:rPr>
        <w:t>南宫市段芦头镇人民政府</w:t>
      </w:r>
      <w:r>
        <w:rPr>
          <w:rFonts w:hint="eastAsia" w:ascii="仿宋" w:hAnsi="仿宋" w:eastAsia="仿宋" w:cs="宋体"/>
          <w:kern w:val="0"/>
          <w:sz w:val="32"/>
          <w:szCs w:val="32"/>
        </w:rPr>
        <w:t>部门概况</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（一）主要职能</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（二）部门组成</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二、南宫市段芦头镇人民政府</w:t>
      </w:r>
      <w:r>
        <w:rPr>
          <w:rFonts w:ascii="仿宋" w:hAnsi="仿宋" w:eastAsia="仿宋"/>
          <w:kern w:val="0"/>
          <w:sz w:val="32"/>
          <w:szCs w:val="32"/>
        </w:rPr>
        <w:t>2017</w:t>
      </w:r>
      <w:r>
        <w:rPr>
          <w:rFonts w:hint="eastAsia" w:ascii="仿宋" w:hAnsi="仿宋" w:eastAsia="仿宋" w:cs="宋体"/>
          <w:kern w:val="0"/>
          <w:sz w:val="32"/>
          <w:szCs w:val="32"/>
        </w:rPr>
        <w:t>年度部门决算表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（一）收入支出决算总表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（二）收入决算表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（三）支出决算表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（四）财政拨款收入支出决算总表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（五）一般公共预算财政拨款收入支出决算表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（六）一般公共预算财政拨款基本支出决算经济分类表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（七）政府性基金预算财政拨款收入支出决算表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（八）国有资本经营预算财政拨款收入支出决算表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（九）</w:t>
      </w:r>
      <w:r>
        <w:rPr>
          <w:rFonts w:ascii="仿宋" w:hAnsi="仿宋" w:eastAsia="仿宋"/>
          <w:kern w:val="0"/>
          <w:sz w:val="32"/>
          <w:szCs w:val="32"/>
        </w:rPr>
        <w:t>“</w:t>
      </w:r>
      <w:r>
        <w:rPr>
          <w:rFonts w:hint="eastAsia" w:ascii="仿宋" w:hAnsi="仿宋" w:eastAsia="仿宋" w:cs="宋体"/>
          <w:kern w:val="0"/>
          <w:sz w:val="32"/>
          <w:szCs w:val="32"/>
        </w:rPr>
        <w:t>三公</w:t>
      </w:r>
      <w:r>
        <w:rPr>
          <w:rFonts w:ascii="仿宋" w:hAnsi="仿宋" w:eastAsia="仿宋"/>
          <w:kern w:val="0"/>
          <w:sz w:val="32"/>
          <w:szCs w:val="32"/>
        </w:rPr>
        <w:t>”</w:t>
      </w:r>
      <w:r>
        <w:rPr>
          <w:rFonts w:hint="eastAsia" w:ascii="仿宋" w:hAnsi="仿宋" w:eastAsia="仿宋" w:cs="宋体"/>
          <w:kern w:val="0"/>
          <w:sz w:val="32"/>
          <w:szCs w:val="32"/>
        </w:rPr>
        <w:t>经费等相关信息统计表</w:t>
      </w:r>
    </w:p>
    <w:p>
      <w:pPr>
        <w:widowControl/>
        <w:spacing w:line="58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（十）政府采购情况表</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三、南宫市段芦头镇人民政府</w:t>
      </w:r>
      <w:r>
        <w:rPr>
          <w:rFonts w:ascii="仿宋" w:hAnsi="仿宋" w:eastAsia="仿宋"/>
          <w:kern w:val="0"/>
          <w:sz w:val="32"/>
          <w:szCs w:val="32"/>
        </w:rPr>
        <w:t>2017</w:t>
      </w:r>
      <w:r>
        <w:rPr>
          <w:rFonts w:hint="eastAsia" w:ascii="仿宋" w:hAnsi="仿宋" w:eastAsia="仿宋" w:cs="宋体"/>
          <w:kern w:val="0"/>
          <w:sz w:val="32"/>
          <w:szCs w:val="32"/>
        </w:rPr>
        <w:t>年部门决算情况说明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（一）收入支出决算总体情况说明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（二）收入决算情况说明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（三）支出决算情况说明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（四）财政拨款收入支出决算总体情况说明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（五）</w:t>
      </w:r>
      <w:r>
        <w:rPr>
          <w:rFonts w:ascii="仿宋" w:hAnsi="仿宋" w:eastAsia="仿宋"/>
          <w:kern w:val="0"/>
          <w:sz w:val="32"/>
          <w:szCs w:val="32"/>
        </w:rPr>
        <w:t>“</w:t>
      </w:r>
      <w:r>
        <w:rPr>
          <w:rFonts w:hint="eastAsia" w:ascii="仿宋" w:hAnsi="仿宋" w:eastAsia="仿宋" w:cs="宋体"/>
          <w:kern w:val="0"/>
          <w:sz w:val="32"/>
          <w:szCs w:val="32"/>
        </w:rPr>
        <w:t>三公</w:t>
      </w:r>
      <w:r>
        <w:rPr>
          <w:rFonts w:ascii="仿宋" w:hAnsi="仿宋" w:eastAsia="仿宋"/>
          <w:kern w:val="0"/>
          <w:sz w:val="32"/>
          <w:szCs w:val="32"/>
        </w:rPr>
        <w:t>”</w:t>
      </w:r>
      <w:r>
        <w:rPr>
          <w:rFonts w:hint="eastAsia" w:ascii="仿宋" w:hAnsi="仿宋" w:eastAsia="仿宋" w:cs="宋体"/>
          <w:kern w:val="0"/>
          <w:sz w:val="32"/>
          <w:szCs w:val="32"/>
        </w:rPr>
        <w:t>经费支出决算情况说明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（六）预算绩效管理工作开展情况说明</w:t>
      </w:r>
    </w:p>
    <w:p>
      <w:pPr>
        <w:widowControl/>
        <w:spacing w:line="580" w:lineRule="exact"/>
        <w:jc w:val="left"/>
        <w:rPr>
          <w:rFonts w:ascii="仿宋" w:hAnsi="仿宋" w:eastAsia="仿宋" w:cs="宋体"/>
          <w:kern w:val="0"/>
          <w:sz w:val="24"/>
        </w:rPr>
      </w:pPr>
      <w:r>
        <w:rPr>
          <w:rFonts w:hint="eastAsia" w:ascii="仿宋" w:hAnsi="仿宋" w:eastAsia="仿宋" w:cs="宋体"/>
          <w:kern w:val="0"/>
          <w:sz w:val="32"/>
          <w:szCs w:val="32"/>
        </w:rPr>
        <w:t xml:space="preserve">    （七）其他重要事项的说明</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1.</w:t>
      </w:r>
      <w:r>
        <w:rPr>
          <w:rFonts w:hint="eastAsia" w:ascii="仿宋" w:hAnsi="仿宋" w:eastAsia="仿宋" w:cs="宋体"/>
          <w:kern w:val="0"/>
          <w:sz w:val="32"/>
          <w:szCs w:val="32"/>
        </w:rPr>
        <w:t>机关运行经费情况</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2.</w:t>
      </w:r>
      <w:r>
        <w:rPr>
          <w:rFonts w:hint="eastAsia" w:ascii="仿宋" w:hAnsi="仿宋" w:eastAsia="仿宋" w:cs="宋体"/>
          <w:kern w:val="0"/>
          <w:sz w:val="32"/>
          <w:szCs w:val="32"/>
        </w:rPr>
        <w:t>政府采购情况</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3.</w:t>
      </w:r>
      <w:r>
        <w:rPr>
          <w:rFonts w:hint="eastAsia" w:ascii="仿宋" w:hAnsi="仿宋" w:eastAsia="仿宋" w:cs="宋体"/>
          <w:kern w:val="0"/>
          <w:sz w:val="32"/>
          <w:szCs w:val="32"/>
        </w:rPr>
        <w:t>国有资产占用情况</w:t>
      </w:r>
    </w:p>
    <w:p>
      <w:pPr>
        <w:widowControl/>
        <w:spacing w:line="580" w:lineRule="exact"/>
        <w:jc w:val="left"/>
        <w:rPr>
          <w:rFonts w:ascii="仿宋" w:hAnsi="仿宋" w:eastAsia="仿宋" w:cs="宋体"/>
          <w:kern w:val="0"/>
          <w:sz w:val="24"/>
        </w:rPr>
      </w:pPr>
      <w:r>
        <w:rPr>
          <w:rFonts w:hint="eastAsia" w:ascii="仿宋" w:hAnsi="仿宋" w:eastAsia="仿宋"/>
          <w:kern w:val="0"/>
          <w:sz w:val="32"/>
          <w:szCs w:val="32"/>
        </w:rPr>
        <w:t xml:space="preserve">        </w:t>
      </w:r>
      <w:r>
        <w:rPr>
          <w:rFonts w:ascii="仿宋" w:hAnsi="仿宋" w:eastAsia="仿宋"/>
          <w:kern w:val="0"/>
          <w:sz w:val="32"/>
          <w:szCs w:val="32"/>
        </w:rPr>
        <w:t>4.</w:t>
      </w:r>
      <w:r>
        <w:rPr>
          <w:rFonts w:hint="eastAsia" w:ascii="仿宋" w:hAnsi="仿宋" w:eastAsia="仿宋" w:cs="宋体"/>
          <w:kern w:val="0"/>
          <w:sz w:val="32"/>
          <w:szCs w:val="32"/>
        </w:rPr>
        <w:t>其他需要说明的情况</w:t>
      </w:r>
    </w:p>
    <w:p>
      <w:pPr>
        <w:widowControl/>
        <w:spacing w:line="580" w:lineRule="exact"/>
        <w:ind w:firstLine="320" w:firstLineChars="100"/>
        <w:jc w:val="left"/>
        <w:rPr>
          <w:rFonts w:ascii="仿宋" w:hAnsi="仿宋" w:eastAsia="仿宋" w:cs="宋体"/>
          <w:kern w:val="0"/>
          <w:sz w:val="24"/>
        </w:rPr>
      </w:pPr>
      <w:r>
        <w:rPr>
          <w:rFonts w:hint="eastAsia" w:ascii="仿宋" w:hAnsi="仿宋" w:eastAsia="仿宋"/>
          <w:kern w:val="0"/>
          <w:sz w:val="32"/>
          <w:szCs w:val="32"/>
        </w:rPr>
        <w:t>四、</w:t>
      </w:r>
      <w:r>
        <w:rPr>
          <w:rFonts w:hint="eastAsia" w:ascii="仿宋" w:hAnsi="仿宋" w:eastAsia="仿宋" w:cs="宋体"/>
          <w:kern w:val="0"/>
          <w:sz w:val="32"/>
          <w:szCs w:val="32"/>
        </w:rPr>
        <w:t>名词解释</w:t>
      </w: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仿宋" w:hAnsi="仿宋" w:eastAsia="仿宋"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spacing w:before="315" w:beforeAutospacing="0" w:after="315" w:afterAutospacing="0"/>
        <w:ind w:firstLine="420"/>
        <w:rPr>
          <w:rStyle w:val="6"/>
          <w:rFonts w:ascii="宋体" w:hAnsi="宋体" w:eastAsia="宋体" w:cs="宋体"/>
          <w:color w:val="000000"/>
          <w:sz w:val="21"/>
          <w:szCs w:val="21"/>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color w:val="000000"/>
          <w:sz w:val="32"/>
          <w:szCs w:val="32"/>
          <w:shd w:val="clear" w:color="auto" w:fill="FFFFFF"/>
        </w:rPr>
      </w:pPr>
    </w:p>
    <w:p>
      <w:pPr>
        <w:pStyle w:val="4"/>
        <w:widowControl/>
        <w:shd w:val="clear" w:color="auto" w:fill="FFFFFF"/>
        <w:adjustRightInd w:val="0"/>
        <w:snapToGrid w:val="0"/>
        <w:spacing w:before="315" w:beforeAutospacing="0" w:after="315" w:afterAutospacing="0"/>
        <w:jc w:val="center"/>
        <w:rPr>
          <w:rFonts w:ascii="宋体" w:hAnsi="宋体" w:eastAsia="宋体" w:cs="宋体"/>
          <w:b/>
          <w:bCs/>
          <w:color w:val="000000"/>
          <w:sz w:val="32"/>
          <w:szCs w:val="32"/>
          <w:shd w:val="clear" w:color="auto" w:fill="FFFFFF"/>
        </w:rPr>
      </w:pPr>
      <w:r>
        <w:rPr>
          <w:rFonts w:hint="eastAsia" w:ascii="宋体" w:hAnsi="宋体" w:eastAsia="宋体" w:cs="宋体"/>
          <w:b/>
          <w:bCs/>
          <w:color w:val="000000"/>
          <w:sz w:val="32"/>
          <w:szCs w:val="32"/>
          <w:shd w:val="clear" w:color="auto" w:fill="FFFFFF"/>
        </w:rPr>
        <w:t>第一部分   部门概况</w:t>
      </w:r>
    </w:p>
    <w:p>
      <w:pPr>
        <w:pStyle w:val="4"/>
        <w:widowControl/>
        <w:shd w:val="clear" w:color="auto" w:fill="FFFFFF"/>
        <w:adjustRightInd w:val="0"/>
        <w:snapToGrid w:val="0"/>
        <w:spacing w:before="315" w:beforeAutospacing="0" w:after="315" w:afterAutospacing="0"/>
        <w:rPr>
          <w:rFonts w:ascii="宋体" w:hAnsi="宋体" w:eastAsia="宋体" w:cs="宋体"/>
          <w:color w:val="000000"/>
          <w:sz w:val="21"/>
          <w:szCs w:val="21"/>
          <w:shd w:val="clear" w:color="auto" w:fill="FFFFFF"/>
        </w:rPr>
      </w:pPr>
      <w:r>
        <w:rPr>
          <w:rFonts w:ascii="宋体" w:hAnsi="宋体" w:eastAsia="宋体" w:cs="宋体"/>
          <w:color w:val="000000"/>
          <w:sz w:val="21"/>
          <w:szCs w:val="21"/>
          <w:shd w:val="clear" w:color="auto" w:fill="FFFFFF"/>
        </w:rPr>
        <w:t>　　</w:t>
      </w:r>
    </w:p>
    <w:p>
      <w:pPr>
        <w:pStyle w:val="4"/>
        <w:widowControl/>
        <w:numPr>
          <w:ilvl w:val="0"/>
          <w:numId w:val="2"/>
        </w:numPr>
        <w:shd w:val="clear" w:color="auto" w:fill="FFFFFF"/>
        <w:adjustRightInd w:val="0"/>
        <w:snapToGrid w:val="0"/>
        <w:spacing w:beforeAutospacing="0" w:afterAutospacing="0"/>
        <w:rPr>
          <w:rFonts w:ascii="新宋体" w:hAnsi="新宋体" w:eastAsia="新宋体" w:cs="新宋体"/>
          <w:color w:val="000000"/>
          <w:sz w:val="32"/>
          <w:szCs w:val="32"/>
          <w:shd w:val="clear" w:color="auto" w:fill="FFFFFF"/>
        </w:rPr>
      </w:pPr>
      <w:r>
        <w:rPr>
          <w:rFonts w:hint="eastAsia" w:ascii="新宋体" w:hAnsi="新宋体" w:eastAsia="新宋体" w:cs="新宋体"/>
          <w:color w:val="000000"/>
          <w:sz w:val="32"/>
          <w:szCs w:val="32"/>
          <w:shd w:val="clear" w:color="auto" w:fill="FFFFFF"/>
        </w:rPr>
        <w:t>主要职能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部门职责</w:t>
      </w:r>
    </w:p>
    <w:p>
      <w:pPr>
        <w:ind w:firstLine="640" w:firstLineChars="200"/>
        <w:rPr>
          <w:rFonts w:ascii="仿宋" w:hAnsi="仿宋" w:eastAsia="仿宋" w:cs="Times New Roman"/>
          <w:sz w:val="32"/>
          <w:szCs w:val="32"/>
        </w:rPr>
      </w:pPr>
      <w:r>
        <w:rPr>
          <w:rFonts w:ascii="仿宋" w:hAnsi="仿宋" w:eastAsia="仿宋" w:cs="Times New Roman"/>
          <w:sz w:val="32"/>
          <w:szCs w:val="32"/>
        </w:rPr>
        <w:t xml:space="preserve">（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  </w:t>
      </w:r>
    </w:p>
    <w:p>
      <w:pPr>
        <w:ind w:firstLine="640" w:firstLineChars="200"/>
        <w:rPr>
          <w:rFonts w:ascii="仿宋" w:hAnsi="仿宋" w:eastAsia="仿宋" w:cs="Times New Roman"/>
          <w:sz w:val="32"/>
          <w:szCs w:val="32"/>
        </w:rPr>
      </w:pPr>
      <w:r>
        <w:rPr>
          <w:rFonts w:ascii="仿宋" w:hAnsi="仿宋" w:eastAsia="仿宋" w:cs="Times New Roman"/>
          <w:sz w:val="32"/>
          <w:szCs w:val="32"/>
        </w:rPr>
        <w:t>（2）制定并组织实施村镇建设规划，部署重点工程建设，地方道路建设及公共设施，水利设施的管理，负责土地、林木、水等自然资源和生态环境的保护，做好护林防火工作。</w:t>
      </w:r>
    </w:p>
    <w:p>
      <w:pPr>
        <w:ind w:firstLine="640" w:firstLineChars="200"/>
        <w:rPr>
          <w:rFonts w:ascii="仿宋" w:hAnsi="仿宋" w:eastAsia="仿宋" w:cs="Times New Roman"/>
          <w:sz w:val="32"/>
          <w:szCs w:val="32"/>
        </w:rPr>
      </w:pPr>
      <w:r>
        <w:rPr>
          <w:rFonts w:ascii="仿宋" w:hAnsi="仿宋" w:eastAsia="仿宋" w:cs="Times New Roman"/>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640" w:firstLineChars="200"/>
        <w:rPr>
          <w:rFonts w:ascii="仿宋" w:hAnsi="仿宋" w:eastAsia="仿宋" w:cs="Times New Roman"/>
          <w:sz w:val="32"/>
          <w:szCs w:val="32"/>
        </w:rPr>
      </w:pPr>
      <w:r>
        <w:rPr>
          <w:rFonts w:ascii="仿宋" w:hAnsi="仿宋" w:eastAsia="仿宋" w:cs="Times New Roman"/>
          <w:sz w:val="32"/>
          <w:szCs w:val="32"/>
        </w:rPr>
        <w:t>（4）按计划组织本级财政收入和地方税的征收，完成国家财政计划，不断培植税源，管好财政资金，增强财政实力。</w:t>
      </w:r>
    </w:p>
    <w:p>
      <w:pPr>
        <w:ind w:firstLine="640" w:firstLineChars="200"/>
        <w:rPr>
          <w:rFonts w:ascii="仿宋" w:hAnsi="仿宋" w:eastAsia="仿宋" w:cs="Times New Roman"/>
          <w:sz w:val="32"/>
          <w:szCs w:val="32"/>
        </w:rPr>
      </w:pPr>
      <w:r>
        <w:rPr>
          <w:rFonts w:ascii="仿宋" w:hAnsi="仿宋" w:eastAsia="仿宋" w:cs="Times New Roman"/>
          <w:sz w:val="32"/>
          <w:szCs w:val="32"/>
        </w:rPr>
        <w:t>（5）抓好精神文明建设，丰富群众文化生活，提倡移风易俗，反对封建迷信，破除陈规陋习，树立社会主义新风尚。</w:t>
      </w:r>
    </w:p>
    <w:p>
      <w:pPr>
        <w:ind w:firstLine="640" w:firstLineChars="200"/>
        <w:rPr>
          <w:rFonts w:ascii="仿宋" w:hAnsi="仿宋" w:eastAsia="仿宋" w:cs="Times New Roman"/>
          <w:sz w:val="32"/>
          <w:szCs w:val="32"/>
        </w:rPr>
      </w:pPr>
      <w:r>
        <w:rPr>
          <w:rFonts w:ascii="仿宋" w:hAnsi="仿宋" w:eastAsia="仿宋" w:cs="Times New Roman"/>
          <w:sz w:val="32"/>
          <w:szCs w:val="32"/>
        </w:rPr>
        <w:t>（6）完成上级政府交办的其它事项。</w:t>
      </w:r>
    </w:p>
    <w:p>
      <w:pPr>
        <w:pStyle w:val="4"/>
        <w:widowControl/>
        <w:shd w:val="clear" w:color="auto" w:fill="F8F8F8"/>
        <w:spacing w:beforeAutospacing="0" w:afterAutospacing="0" w:line="378" w:lineRule="atLeast"/>
        <w:ind w:firstLine="640" w:firstLineChars="200"/>
        <w:rPr>
          <w:rFonts w:ascii="仿宋" w:hAnsi="仿宋" w:eastAsia="仿宋"/>
          <w:kern w:val="2"/>
          <w:sz w:val="32"/>
          <w:szCs w:val="32"/>
        </w:rPr>
      </w:pPr>
      <w:r>
        <w:rPr>
          <w:rFonts w:hint="eastAsia" w:ascii="仿宋" w:hAnsi="仿宋" w:eastAsia="仿宋"/>
          <w:kern w:val="2"/>
          <w:sz w:val="32"/>
          <w:szCs w:val="32"/>
        </w:rPr>
        <w:t>（二）部门组成</w:t>
      </w:r>
    </w:p>
    <w:p>
      <w:pPr>
        <w:rPr>
          <w:rFonts w:ascii="仿宋" w:hAnsi="仿宋" w:eastAsia="仿宋" w:cs="Times New Roman"/>
          <w:sz w:val="32"/>
          <w:szCs w:val="32"/>
        </w:rPr>
      </w:pPr>
      <w:r>
        <w:rPr>
          <w:rFonts w:hint="eastAsia" w:ascii="仿宋" w:hAnsi="仿宋" w:eastAsia="仿宋" w:cs="Times New Roman"/>
          <w:sz w:val="32"/>
          <w:szCs w:val="32"/>
        </w:rPr>
        <w:t>南宫市段芦头镇人民政府位于南宫市东南部，辖42个行政村，人口4.8万，总面积93平方公里，耕地9万多亩，行政单位，财政性资金基本保证经费 ，机构设置1、党政办公室。2、社会事务办公室。3、经济发展办公室。4、综合治理办公室。5、人口和计划生育办公室。6、村镇规划建设办公室。</w:t>
      </w:r>
    </w:p>
    <w:p>
      <w:pPr>
        <w:widowControl/>
        <w:spacing w:line="580" w:lineRule="exact"/>
        <w:jc w:val="center"/>
        <w:rPr>
          <w:rFonts w:ascii="仿宋" w:hAnsi="仿宋" w:eastAsia="仿宋" w:cstheme="majorEastAsia"/>
          <w:b/>
          <w:bCs/>
          <w:color w:val="000000"/>
          <w:sz w:val="32"/>
          <w:szCs w:val="32"/>
          <w:shd w:val="clear" w:color="auto" w:fill="FFFFFF"/>
        </w:rPr>
        <w:sectPr>
          <w:footerReference r:id="rId3" w:type="default"/>
          <w:pgSz w:w="11906" w:h="16838"/>
          <w:pgMar w:top="1440" w:right="1800" w:bottom="1440" w:left="1800" w:header="851" w:footer="992" w:gutter="0"/>
          <w:pgNumType w:start="1"/>
          <w:cols w:space="425" w:num="1"/>
          <w:docGrid w:type="lines" w:linePitch="312" w:charSpace="0"/>
        </w:sect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p>
    <w:p>
      <w:pPr>
        <w:widowControl/>
        <w:spacing w:line="580" w:lineRule="exact"/>
        <w:jc w:val="center"/>
        <w:rPr>
          <w:rFonts w:ascii="仿宋" w:hAnsi="仿宋" w:eastAsia="仿宋" w:cstheme="majorEastAsia"/>
          <w:b/>
          <w:bCs/>
          <w:color w:val="000000"/>
          <w:sz w:val="32"/>
          <w:szCs w:val="32"/>
          <w:shd w:val="clear" w:color="auto" w:fill="FFFFFF"/>
        </w:rPr>
      </w:pPr>
      <w:r>
        <w:rPr>
          <w:rFonts w:hint="eastAsia" w:ascii="仿宋" w:hAnsi="仿宋" w:eastAsia="仿宋" w:cstheme="majorEastAsia"/>
          <w:b/>
          <w:bCs/>
          <w:color w:val="000000"/>
          <w:sz w:val="32"/>
          <w:szCs w:val="32"/>
          <w:shd w:val="clear" w:color="auto" w:fill="FFFFFF"/>
        </w:rPr>
        <w:t xml:space="preserve">第二部分  </w:t>
      </w:r>
      <w:r>
        <w:rPr>
          <w:rFonts w:hint="eastAsia" w:ascii="仿宋" w:hAnsi="仿宋" w:eastAsia="仿宋" w:cstheme="majorEastAsia"/>
          <w:b/>
          <w:bCs/>
          <w:kern w:val="0"/>
          <w:sz w:val="32"/>
          <w:szCs w:val="32"/>
        </w:rPr>
        <w:t>2017年部门决算表</w:t>
      </w:r>
    </w:p>
    <w:p>
      <w:pPr>
        <w:widowControl/>
        <w:spacing w:line="580" w:lineRule="exact"/>
        <w:jc w:val="center"/>
        <w:rPr>
          <w:rFonts w:ascii="仿宋" w:hAnsi="仿宋" w:eastAsia="仿宋" w:cstheme="majorEastAsia"/>
          <w:b/>
          <w:bCs/>
          <w:color w:val="000000"/>
          <w:sz w:val="32"/>
          <w:szCs w:val="32"/>
          <w:shd w:val="clear" w:color="auto" w:fill="FFFFFF"/>
        </w:rPr>
      </w:pPr>
    </w:p>
    <w:p>
      <w:pPr>
        <w:widowControl/>
        <w:jc w:val="center"/>
        <w:rPr>
          <w:rFonts w:ascii="仿宋" w:hAnsi="仿宋" w:eastAsia="仿宋" w:cstheme="majorEastAsia"/>
          <w:b/>
          <w:bCs/>
          <w:color w:val="000000"/>
          <w:sz w:val="32"/>
          <w:szCs w:val="32"/>
          <w:shd w:val="clear" w:color="auto" w:fill="FFFFFF"/>
        </w:rPr>
        <w:sectPr>
          <w:pgSz w:w="16838" w:h="11906" w:orient="landscape"/>
          <w:pgMar w:top="567" w:right="567" w:bottom="567" w:left="567" w:header="851" w:footer="992" w:gutter="0"/>
          <w:cols w:space="425" w:num="1"/>
          <w:docGrid w:type="lines" w:linePitch="312" w:charSpace="0"/>
        </w:sectPr>
      </w:pPr>
    </w:p>
    <w:tbl>
      <w:tblPr>
        <w:tblStyle w:val="8"/>
        <w:tblW w:w="15451" w:type="dxa"/>
        <w:tblInd w:w="108" w:type="dxa"/>
        <w:tblLayout w:type="fixed"/>
        <w:tblCellMar>
          <w:top w:w="0" w:type="dxa"/>
          <w:left w:w="108" w:type="dxa"/>
          <w:bottom w:w="0" w:type="dxa"/>
          <w:right w:w="108" w:type="dxa"/>
        </w:tblCellMar>
      </w:tblPr>
      <w:tblGrid>
        <w:gridCol w:w="4340"/>
        <w:gridCol w:w="580"/>
        <w:gridCol w:w="2320"/>
        <w:gridCol w:w="1549"/>
        <w:gridCol w:w="2791"/>
        <w:gridCol w:w="580"/>
        <w:gridCol w:w="3291"/>
      </w:tblGrid>
      <w:tr>
        <w:tblPrEx>
          <w:tblLayout w:type="fixed"/>
          <w:tblCellMar>
            <w:top w:w="0" w:type="dxa"/>
            <w:left w:w="108" w:type="dxa"/>
            <w:bottom w:w="0" w:type="dxa"/>
            <w:right w:w="108" w:type="dxa"/>
          </w:tblCellMar>
        </w:tblPrEx>
        <w:trPr>
          <w:trHeight w:val="384" w:hRule="atLeast"/>
        </w:trPr>
        <w:tc>
          <w:tcPr>
            <w:tcW w:w="4340" w:type="dxa"/>
            <w:tcBorders>
              <w:top w:val="nil"/>
              <w:left w:val="nil"/>
              <w:bottom w:val="nil"/>
              <w:right w:val="nil"/>
            </w:tcBorders>
            <w:shd w:val="clear" w:color="auto" w:fill="auto"/>
            <w:vAlign w:val="bottom"/>
          </w:tcPr>
          <w:p>
            <w:pPr>
              <w:widowControl/>
              <w:ind w:left="460" w:leftChars="-320" w:hanging="1132" w:hangingChars="566"/>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869" w:type="dxa"/>
            <w:gridSpan w:val="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收入支出决算总表</w:t>
            </w:r>
          </w:p>
        </w:tc>
        <w:tc>
          <w:tcPr>
            <w:tcW w:w="2791"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64" w:hRule="atLeast"/>
        </w:trPr>
        <w:tc>
          <w:tcPr>
            <w:tcW w:w="434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2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4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Layout w:type="fixed"/>
          <w:tblCellMar>
            <w:top w:w="0" w:type="dxa"/>
            <w:left w:w="108" w:type="dxa"/>
            <w:bottom w:w="0" w:type="dxa"/>
            <w:right w:w="108" w:type="dxa"/>
          </w:tblCellMar>
        </w:tblPrEx>
        <w:trPr>
          <w:trHeight w:val="264" w:hRule="atLeast"/>
        </w:trPr>
        <w:tc>
          <w:tcPr>
            <w:tcW w:w="434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32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4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264" w:hRule="atLeast"/>
        </w:trPr>
        <w:tc>
          <w:tcPr>
            <w:tcW w:w="434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部门：南宫市段芦头镇人民政府（本级）</w:t>
            </w:r>
          </w:p>
        </w:tc>
        <w:tc>
          <w:tcPr>
            <w:tcW w:w="580"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232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40" w:type="dxa"/>
            <w:gridSpan w:val="2"/>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58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291"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255" w:hRule="exact"/>
        </w:trPr>
        <w:tc>
          <w:tcPr>
            <w:tcW w:w="7240"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收入</w:t>
            </w:r>
          </w:p>
        </w:tc>
        <w:tc>
          <w:tcPr>
            <w:tcW w:w="8211" w:type="dxa"/>
            <w:gridSpan w:val="4"/>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支出</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项目</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行次</w:t>
            </w:r>
          </w:p>
        </w:tc>
        <w:tc>
          <w:tcPr>
            <w:tcW w:w="23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项目</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行次</w:t>
            </w:r>
          </w:p>
        </w:tc>
        <w:tc>
          <w:tcPr>
            <w:tcW w:w="329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23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329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一、财政拨款收入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452.49</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其中：政府性基金预算财政拨款</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二、上级补助收入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三、事业收入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20.00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四、经营收入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0.77</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五、附属单位上缴收入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六、其他收入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七、文化体育与传媒支出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15.40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九、医疗卫生与计划生育支出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10.47</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92.03</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58.06</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376.38</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十四、资源勘探信息等支出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16.50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十八、国土海洋气象等支出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二十一、其他支出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本年收入合计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本年支出合计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1,042.09</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用事业基金弥补收支差额</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结余分配</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年初结转和结余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24</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其中：提取职工福利基金</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其中：项目支出结转和结余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转入事业基金</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0.00</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年末结转和结余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4.62</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其中：项目支出结转和结余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56</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4.62</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329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w:t>
            </w:r>
          </w:p>
        </w:tc>
      </w:tr>
      <w:tr>
        <w:tblPrEx>
          <w:tblLayout w:type="fixed"/>
          <w:tblCellMar>
            <w:top w:w="0" w:type="dxa"/>
            <w:left w:w="108" w:type="dxa"/>
            <w:bottom w:w="0" w:type="dxa"/>
            <w:right w:w="108" w:type="dxa"/>
          </w:tblCellMar>
        </w:tblPrEx>
        <w:trPr>
          <w:trHeight w:val="255" w:hRule="exact"/>
        </w:trPr>
        <w:tc>
          <w:tcPr>
            <w:tcW w:w="434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23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c>
          <w:tcPr>
            <w:tcW w:w="434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15"/>
                <w:szCs w:val="15"/>
              </w:rPr>
            </w:pPr>
            <w:r>
              <w:rPr>
                <w:rFonts w:hint="eastAsia" w:ascii="宋体" w:hAnsi="宋体" w:eastAsia="宋体" w:cs="Arial"/>
                <w:b/>
                <w:bCs/>
                <w:color w:val="000000"/>
                <w:kern w:val="0"/>
                <w:sz w:val="15"/>
                <w:szCs w:val="15"/>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329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1,046.71</w:t>
            </w:r>
          </w:p>
        </w:tc>
      </w:tr>
      <w:tr>
        <w:tblPrEx>
          <w:tblLayout w:type="fixed"/>
          <w:tblCellMar>
            <w:top w:w="0" w:type="dxa"/>
            <w:left w:w="108" w:type="dxa"/>
            <w:bottom w:w="0" w:type="dxa"/>
            <w:right w:w="108" w:type="dxa"/>
          </w:tblCellMar>
        </w:tblPrEx>
        <w:trPr>
          <w:trHeight w:val="255" w:hRule="exact"/>
        </w:trPr>
        <w:tc>
          <w:tcPr>
            <w:tcW w:w="15451" w:type="dxa"/>
            <w:gridSpan w:val="7"/>
            <w:tcBorders>
              <w:top w:val="nil"/>
              <w:left w:val="nil"/>
              <w:bottom w:val="nil"/>
              <w:right w:val="nil"/>
            </w:tcBorders>
            <w:shd w:val="clear" w:color="auto" w:fill="auto"/>
            <w:vAlign w:val="center"/>
          </w:tcPr>
          <w:p>
            <w:pPr>
              <w:widowControl/>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注：本表反映部门决算本年度的总收支和年末结转结余情况。</w:t>
            </w:r>
          </w:p>
        </w:tc>
      </w:tr>
    </w:tbl>
    <w:p>
      <w:pPr>
        <w:widowControl/>
        <w:jc w:val="center"/>
        <w:rPr>
          <w:rFonts w:ascii="仿宋" w:hAnsi="仿宋" w:eastAsia="仿宋" w:cstheme="majorEastAsia"/>
          <w:b/>
          <w:bCs/>
          <w:color w:val="000000"/>
          <w:sz w:val="32"/>
          <w:szCs w:val="32"/>
          <w:shd w:val="clear" w:color="auto" w:fill="FFFFFF"/>
        </w:rPr>
      </w:pPr>
    </w:p>
    <w:p>
      <w:pPr>
        <w:widowControl/>
        <w:jc w:val="center"/>
        <w:rPr>
          <w:rFonts w:ascii="仿宋" w:hAnsi="仿宋" w:eastAsia="仿宋" w:cstheme="majorEastAsia"/>
          <w:b/>
          <w:bCs/>
          <w:color w:val="000000"/>
          <w:sz w:val="32"/>
          <w:szCs w:val="32"/>
          <w:shd w:val="clear" w:color="auto" w:fill="FFFFFF"/>
        </w:rPr>
        <w:sectPr>
          <w:pgSz w:w="16838" w:h="11906" w:orient="landscape"/>
          <w:pgMar w:top="567" w:right="567" w:bottom="567" w:left="567" w:header="851" w:footer="992" w:gutter="0"/>
          <w:cols w:space="425" w:num="1"/>
          <w:docGrid w:type="lines" w:linePitch="316" w:charSpace="0"/>
        </w:sectPr>
      </w:pPr>
    </w:p>
    <w:p>
      <w:pPr>
        <w:widowControl/>
        <w:spacing w:line="580" w:lineRule="exact"/>
        <w:rPr>
          <w:rFonts w:ascii="仿宋" w:hAnsi="仿宋" w:eastAsia="仿宋" w:cstheme="majorEastAsia"/>
          <w:b/>
          <w:bCs/>
          <w:color w:val="000000"/>
          <w:sz w:val="32"/>
          <w:szCs w:val="32"/>
          <w:shd w:val="clear" w:color="auto" w:fill="FFFFFF"/>
        </w:rPr>
      </w:pPr>
    </w:p>
    <w:tbl>
      <w:tblPr>
        <w:tblStyle w:val="8"/>
        <w:tblW w:w="15695" w:type="dxa"/>
        <w:tblInd w:w="108" w:type="dxa"/>
        <w:tblLayout w:type="fixed"/>
        <w:tblCellMar>
          <w:top w:w="0" w:type="dxa"/>
          <w:left w:w="108" w:type="dxa"/>
          <w:bottom w:w="0" w:type="dxa"/>
          <w:right w:w="108" w:type="dxa"/>
        </w:tblCellMar>
      </w:tblPr>
      <w:tblGrid>
        <w:gridCol w:w="436"/>
        <w:gridCol w:w="436"/>
        <w:gridCol w:w="436"/>
        <w:gridCol w:w="3795"/>
        <w:gridCol w:w="1276"/>
        <w:gridCol w:w="1276"/>
        <w:gridCol w:w="1134"/>
        <w:gridCol w:w="1558"/>
        <w:gridCol w:w="1558"/>
        <w:gridCol w:w="1558"/>
        <w:gridCol w:w="2202"/>
        <w:gridCol w:w="30"/>
      </w:tblGrid>
      <w:tr>
        <w:tblPrEx>
          <w:tblLayout w:type="fixed"/>
          <w:tblCellMar>
            <w:top w:w="0" w:type="dxa"/>
            <w:left w:w="108" w:type="dxa"/>
            <w:bottom w:w="0" w:type="dxa"/>
            <w:right w:w="108" w:type="dxa"/>
          </w:tblCellMar>
        </w:tblPrEx>
        <w:trPr>
          <w:trHeight w:val="384" w:hRule="atLeast"/>
        </w:trPr>
        <w:tc>
          <w:tcPr>
            <w:tcW w:w="15695" w:type="dxa"/>
            <w:gridSpan w:val="12"/>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r>
      <w:tr>
        <w:tblPrEx>
          <w:tblLayout w:type="fixed"/>
          <w:tblCellMar>
            <w:top w:w="0" w:type="dxa"/>
            <w:left w:w="108" w:type="dxa"/>
            <w:bottom w:w="0" w:type="dxa"/>
            <w:right w:w="108" w:type="dxa"/>
          </w:tblCellMar>
        </w:tblPrEx>
        <w:trPr>
          <w:gridAfter w:val="1"/>
          <w:wAfter w:w="30" w:type="dxa"/>
          <w:trHeight w:val="264" w:hRule="atLeast"/>
        </w:trPr>
        <w:tc>
          <w:tcPr>
            <w:tcW w:w="43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4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379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02"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Layout w:type="fixed"/>
          <w:tblCellMar>
            <w:top w:w="0" w:type="dxa"/>
            <w:left w:w="108" w:type="dxa"/>
            <w:bottom w:w="0" w:type="dxa"/>
            <w:right w:w="108" w:type="dxa"/>
          </w:tblCellMar>
        </w:tblPrEx>
        <w:trPr>
          <w:gridAfter w:val="1"/>
          <w:wAfter w:w="30" w:type="dxa"/>
          <w:trHeight w:val="264" w:hRule="atLeast"/>
        </w:trPr>
        <w:tc>
          <w:tcPr>
            <w:tcW w:w="5103"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部门：南宫市段芦头镇人民政府（本级）</w:t>
            </w:r>
          </w:p>
        </w:tc>
        <w:tc>
          <w:tcPr>
            <w:tcW w:w="127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127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558"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2202"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30" w:type="dxa"/>
          <w:trHeight w:val="316"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科目编码</w:t>
            </w:r>
          </w:p>
        </w:tc>
        <w:tc>
          <w:tcPr>
            <w:tcW w:w="379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27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本年收入合计</w:t>
            </w:r>
          </w:p>
        </w:tc>
        <w:tc>
          <w:tcPr>
            <w:tcW w:w="127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left="-263" w:leftChars="-125" w:firstLine="525" w:firstLineChars="239"/>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财政拨款收入</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上级补助收入</w:t>
            </w:r>
          </w:p>
        </w:tc>
        <w:tc>
          <w:tcPr>
            <w:tcW w:w="155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事业收入</w:t>
            </w:r>
          </w:p>
        </w:tc>
        <w:tc>
          <w:tcPr>
            <w:tcW w:w="155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经营收入</w:t>
            </w:r>
          </w:p>
        </w:tc>
        <w:tc>
          <w:tcPr>
            <w:tcW w:w="155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附属单位上缴收入</w:t>
            </w:r>
          </w:p>
        </w:tc>
        <w:tc>
          <w:tcPr>
            <w:tcW w:w="2202"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其他收入</w:t>
            </w:r>
          </w:p>
        </w:tc>
      </w:tr>
      <w:tr>
        <w:tblPrEx>
          <w:tblLayout w:type="fixed"/>
          <w:tblCellMar>
            <w:top w:w="0" w:type="dxa"/>
            <w:left w:w="108" w:type="dxa"/>
            <w:bottom w:w="0" w:type="dxa"/>
            <w:right w:w="108" w:type="dxa"/>
          </w:tblCellMar>
        </w:tblPrEx>
        <w:trPr>
          <w:gridAfter w:val="1"/>
          <w:wAfter w:w="30" w:type="dxa"/>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316"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5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2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gridAfter w:val="1"/>
          <w:wAfter w:w="30" w:type="dxa"/>
          <w:trHeight w:val="309"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379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27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27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11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155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55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155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2202"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r>
      <w:tr>
        <w:tblPrEx>
          <w:tblLayout w:type="fixed"/>
          <w:tblCellMar>
            <w:top w:w="0" w:type="dxa"/>
            <w:left w:w="108" w:type="dxa"/>
            <w:bottom w:w="0" w:type="dxa"/>
            <w:right w:w="108" w:type="dxa"/>
          </w:tblCellMar>
        </w:tblPrEx>
        <w:trPr>
          <w:gridAfter w:val="1"/>
          <w:wAfter w:w="30" w:type="dxa"/>
          <w:trHeight w:val="309"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379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1,046.71</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1,046.71</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b/>
                <w:bCs/>
                <w:color w:val="000000"/>
                <w:kern w:val="0"/>
                <w:sz w:val="22"/>
                <w:szCs w:val="22"/>
              </w:rPr>
            </w:pPr>
            <w:r>
              <w:rPr>
                <w:rFonts w:hint="eastAsia" w:ascii="宋体" w:hAnsi="宋体" w:eastAsia="宋体" w:cs="Arial"/>
                <w:b/>
                <w:bCs/>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一般公共服务支出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452.49</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政府办公厅（室）及相关机构事务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2010301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339.49</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统计信息事务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2010507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专项普查活动</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商贸事务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2011308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招商引资</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28.00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宣传事务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2013302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一般行政管理事务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24.00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其他一般公共服务支出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2019999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其他一般公共服务支出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公共安全支出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其他公共安全支出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2049901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其他公共安全支出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教育支出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普通教育</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2050203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初中教育</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0.77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社会保障和就业支出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其他生活救助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2082502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其他农村生活救助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15.40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医疗卫生与计划生育支出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计划生育事务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2100717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计划生育服务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10.47</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节能环保支出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自然生态保护</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2110402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农村环境保护</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92.03</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城乡社区公共设施</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2120303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小城镇基础设施建设</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58.06</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农林水支出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农村综合改革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381.00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2130705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对村民委员会和村党支部的补助</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361.00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361.00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2130799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其他农村综合改革支出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资源勘探信息等支出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16.50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安全生产监管</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2150601</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行政运行</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4.50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支持中小企业发展和管理支出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gridAfter w:val="1"/>
          <w:wAfter w:w="30" w:type="dxa"/>
          <w:trHeight w:val="309" w:hRule="atLeast"/>
        </w:trPr>
        <w:tc>
          <w:tcPr>
            <w:tcW w:w="1308"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2150899</w:t>
            </w:r>
          </w:p>
        </w:tc>
        <w:tc>
          <w:tcPr>
            <w:tcW w:w="379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其他支持中小企业发展和管理支出</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12.00</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55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2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r>
      <w:tr>
        <w:tblPrEx>
          <w:tblLayout w:type="fixed"/>
          <w:tblCellMar>
            <w:top w:w="0" w:type="dxa"/>
            <w:left w:w="108" w:type="dxa"/>
            <w:bottom w:w="0" w:type="dxa"/>
            <w:right w:w="108" w:type="dxa"/>
          </w:tblCellMar>
        </w:tblPrEx>
        <w:trPr>
          <w:trHeight w:val="309" w:hRule="atLeast"/>
        </w:trPr>
        <w:tc>
          <w:tcPr>
            <w:tcW w:w="15695" w:type="dxa"/>
            <w:gridSpan w:val="1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注：本表反映部门本年度取得的各项收入情况。</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487" w:type="dxa"/>
        <w:tblInd w:w="0" w:type="dxa"/>
        <w:tblLayout w:type="fixed"/>
        <w:tblCellMar>
          <w:top w:w="15" w:type="dxa"/>
          <w:left w:w="15" w:type="dxa"/>
          <w:bottom w:w="15" w:type="dxa"/>
          <w:right w:w="15" w:type="dxa"/>
        </w:tblCellMar>
      </w:tblPr>
      <w:tblGrid>
        <w:gridCol w:w="431"/>
        <w:gridCol w:w="950"/>
        <w:gridCol w:w="951"/>
        <w:gridCol w:w="3886"/>
        <w:gridCol w:w="1789"/>
        <w:gridCol w:w="957"/>
        <w:gridCol w:w="960"/>
        <w:gridCol w:w="1498"/>
        <w:gridCol w:w="954"/>
        <w:gridCol w:w="3111"/>
      </w:tblGrid>
      <w:tr>
        <w:tblPrEx>
          <w:tblLayout w:type="fixed"/>
          <w:tblCellMar>
            <w:top w:w="15" w:type="dxa"/>
            <w:left w:w="15" w:type="dxa"/>
            <w:bottom w:w="15" w:type="dxa"/>
            <w:right w:w="15" w:type="dxa"/>
          </w:tblCellMar>
        </w:tblPrEx>
        <w:trPr>
          <w:trHeight w:val="390" w:hRule="atLeast"/>
        </w:trPr>
        <w:tc>
          <w:tcPr>
            <w:tcW w:w="15487" w:type="dxa"/>
            <w:gridSpan w:val="10"/>
            <w:shd w:val="clear" w:color="auto" w:fill="auto"/>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支出决算表</w:t>
            </w:r>
          </w:p>
        </w:tc>
      </w:tr>
      <w:tr>
        <w:tblPrEx>
          <w:tblLayout w:type="fixed"/>
          <w:tblCellMar>
            <w:top w:w="15" w:type="dxa"/>
            <w:left w:w="15" w:type="dxa"/>
            <w:bottom w:w="15" w:type="dxa"/>
            <w:right w:w="15" w:type="dxa"/>
          </w:tblCellMar>
        </w:tblPrEx>
        <w:trPr>
          <w:trHeight w:val="286" w:hRule="atLeast"/>
        </w:trPr>
        <w:tc>
          <w:tcPr>
            <w:tcW w:w="431" w:type="dxa"/>
            <w:shd w:val="clear" w:color="auto" w:fill="auto"/>
            <w:vAlign w:val="bottom"/>
          </w:tcPr>
          <w:p>
            <w:pPr>
              <w:rPr>
                <w:rFonts w:ascii="Arial" w:hAnsi="Arial" w:cs="Arial"/>
                <w:color w:val="000000"/>
                <w:sz w:val="20"/>
                <w:szCs w:val="20"/>
              </w:rPr>
            </w:pPr>
          </w:p>
        </w:tc>
        <w:tc>
          <w:tcPr>
            <w:tcW w:w="950" w:type="dxa"/>
            <w:shd w:val="clear" w:color="auto" w:fill="auto"/>
            <w:vAlign w:val="bottom"/>
          </w:tcPr>
          <w:p>
            <w:pPr>
              <w:rPr>
                <w:rFonts w:ascii="Arial" w:hAnsi="Arial" w:cs="Arial"/>
                <w:color w:val="000000"/>
                <w:sz w:val="20"/>
                <w:szCs w:val="20"/>
              </w:rPr>
            </w:pPr>
          </w:p>
        </w:tc>
        <w:tc>
          <w:tcPr>
            <w:tcW w:w="951" w:type="dxa"/>
            <w:shd w:val="clear" w:color="auto" w:fill="auto"/>
            <w:vAlign w:val="bottom"/>
          </w:tcPr>
          <w:p>
            <w:pPr>
              <w:rPr>
                <w:rFonts w:ascii="Arial" w:hAnsi="Arial" w:cs="Arial"/>
                <w:color w:val="000000"/>
                <w:sz w:val="20"/>
                <w:szCs w:val="20"/>
              </w:rPr>
            </w:pPr>
          </w:p>
        </w:tc>
        <w:tc>
          <w:tcPr>
            <w:tcW w:w="3886" w:type="dxa"/>
            <w:shd w:val="clear" w:color="auto" w:fill="auto"/>
            <w:vAlign w:val="bottom"/>
          </w:tcPr>
          <w:p>
            <w:pPr>
              <w:rPr>
                <w:rFonts w:ascii="Arial" w:hAnsi="Arial" w:cs="Arial"/>
                <w:color w:val="000000"/>
                <w:sz w:val="20"/>
                <w:szCs w:val="20"/>
              </w:rPr>
            </w:pPr>
          </w:p>
        </w:tc>
        <w:tc>
          <w:tcPr>
            <w:tcW w:w="1789" w:type="dxa"/>
            <w:shd w:val="clear" w:color="auto" w:fill="auto"/>
            <w:vAlign w:val="bottom"/>
          </w:tcPr>
          <w:p>
            <w:pPr>
              <w:rPr>
                <w:rFonts w:ascii="Arial" w:hAnsi="Arial" w:cs="Arial"/>
                <w:color w:val="000000"/>
                <w:sz w:val="20"/>
                <w:szCs w:val="20"/>
              </w:rPr>
            </w:pPr>
          </w:p>
        </w:tc>
        <w:tc>
          <w:tcPr>
            <w:tcW w:w="957" w:type="dxa"/>
            <w:shd w:val="clear" w:color="auto" w:fill="auto"/>
            <w:vAlign w:val="bottom"/>
          </w:tcPr>
          <w:p>
            <w:pPr>
              <w:rPr>
                <w:rFonts w:ascii="Arial" w:hAnsi="Arial" w:cs="Arial"/>
                <w:color w:val="000000"/>
                <w:sz w:val="20"/>
                <w:szCs w:val="20"/>
              </w:rPr>
            </w:pPr>
          </w:p>
        </w:tc>
        <w:tc>
          <w:tcPr>
            <w:tcW w:w="960" w:type="dxa"/>
            <w:shd w:val="clear" w:color="auto" w:fill="auto"/>
            <w:vAlign w:val="bottom"/>
          </w:tcPr>
          <w:p>
            <w:pPr>
              <w:rPr>
                <w:rFonts w:ascii="Arial" w:hAnsi="Arial" w:cs="Arial"/>
                <w:color w:val="000000"/>
                <w:sz w:val="20"/>
                <w:szCs w:val="20"/>
              </w:rPr>
            </w:pPr>
          </w:p>
        </w:tc>
        <w:tc>
          <w:tcPr>
            <w:tcW w:w="1498" w:type="dxa"/>
            <w:shd w:val="clear" w:color="auto" w:fill="auto"/>
            <w:vAlign w:val="bottom"/>
          </w:tcPr>
          <w:p>
            <w:pPr>
              <w:rPr>
                <w:rFonts w:ascii="Arial" w:hAnsi="Arial" w:cs="Arial"/>
                <w:color w:val="000000"/>
                <w:sz w:val="20"/>
                <w:szCs w:val="20"/>
              </w:rPr>
            </w:pPr>
          </w:p>
        </w:tc>
        <w:tc>
          <w:tcPr>
            <w:tcW w:w="954" w:type="dxa"/>
            <w:shd w:val="clear" w:color="auto" w:fill="auto"/>
            <w:vAlign w:val="bottom"/>
          </w:tcPr>
          <w:p>
            <w:pPr>
              <w:rPr>
                <w:rFonts w:ascii="Arial" w:hAnsi="Arial" w:cs="Arial"/>
                <w:color w:val="000000"/>
                <w:sz w:val="20"/>
                <w:szCs w:val="20"/>
              </w:rPr>
            </w:pPr>
          </w:p>
        </w:tc>
        <w:tc>
          <w:tcPr>
            <w:tcW w:w="3111"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Layout w:type="fixed"/>
          <w:tblCellMar>
            <w:top w:w="15" w:type="dxa"/>
            <w:left w:w="15" w:type="dxa"/>
            <w:bottom w:w="15" w:type="dxa"/>
            <w:right w:w="15" w:type="dxa"/>
          </w:tblCellMar>
        </w:tblPrEx>
        <w:trPr>
          <w:trHeight w:val="286" w:hRule="atLeast"/>
        </w:trPr>
        <w:tc>
          <w:tcPr>
            <w:tcW w:w="6218" w:type="dxa"/>
            <w:gridSpan w:val="4"/>
            <w:shd w:val="clear" w:color="auto" w:fill="auto"/>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部门：南宫市段芦头镇人民政府（本级）</w:t>
            </w:r>
          </w:p>
        </w:tc>
        <w:tc>
          <w:tcPr>
            <w:tcW w:w="1789" w:type="dxa"/>
            <w:shd w:val="clear" w:color="auto" w:fill="auto"/>
            <w:vAlign w:val="bottom"/>
          </w:tcPr>
          <w:p>
            <w:pPr>
              <w:rPr>
                <w:rFonts w:ascii="Arial" w:hAnsi="Arial" w:cs="Arial"/>
                <w:color w:val="000000"/>
                <w:sz w:val="20"/>
                <w:szCs w:val="20"/>
              </w:rPr>
            </w:pPr>
          </w:p>
        </w:tc>
        <w:tc>
          <w:tcPr>
            <w:tcW w:w="957" w:type="dxa"/>
            <w:shd w:val="clear" w:color="auto" w:fill="auto"/>
            <w:vAlign w:val="bottom"/>
          </w:tcPr>
          <w:p>
            <w:pPr>
              <w:rPr>
                <w:rFonts w:ascii="Arial" w:hAnsi="Arial" w:cs="Arial"/>
                <w:color w:val="000000"/>
                <w:sz w:val="20"/>
                <w:szCs w:val="20"/>
              </w:rPr>
            </w:pPr>
          </w:p>
        </w:tc>
        <w:tc>
          <w:tcPr>
            <w:tcW w:w="960" w:type="dxa"/>
            <w:shd w:val="clear" w:color="auto" w:fill="auto"/>
            <w:vAlign w:val="bottom"/>
          </w:tcPr>
          <w:p>
            <w:pPr>
              <w:rPr>
                <w:rFonts w:ascii="Arial" w:hAnsi="Arial" w:cs="Arial"/>
                <w:color w:val="000000"/>
                <w:sz w:val="20"/>
                <w:szCs w:val="20"/>
              </w:rPr>
            </w:pPr>
          </w:p>
        </w:tc>
        <w:tc>
          <w:tcPr>
            <w:tcW w:w="1498" w:type="dxa"/>
            <w:shd w:val="clear" w:color="auto" w:fill="auto"/>
            <w:vAlign w:val="bottom"/>
          </w:tcPr>
          <w:p>
            <w:pPr>
              <w:rPr>
                <w:rFonts w:ascii="Arial" w:hAnsi="Arial" w:cs="Arial"/>
                <w:color w:val="000000"/>
                <w:sz w:val="20"/>
                <w:szCs w:val="20"/>
              </w:rPr>
            </w:pPr>
          </w:p>
        </w:tc>
        <w:tc>
          <w:tcPr>
            <w:tcW w:w="954" w:type="dxa"/>
            <w:shd w:val="clear" w:color="auto" w:fill="auto"/>
            <w:vAlign w:val="bottom"/>
          </w:tcPr>
          <w:p>
            <w:pPr>
              <w:rPr>
                <w:rFonts w:ascii="Arial" w:hAnsi="Arial" w:cs="Arial"/>
                <w:color w:val="000000"/>
                <w:sz w:val="20"/>
                <w:szCs w:val="20"/>
              </w:rPr>
            </w:pPr>
          </w:p>
        </w:tc>
        <w:tc>
          <w:tcPr>
            <w:tcW w:w="3111"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15" w:type="dxa"/>
            <w:left w:w="15" w:type="dxa"/>
            <w:bottom w:w="15" w:type="dxa"/>
            <w:right w:w="15" w:type="dxa"/>
          </w:tblCellMar>
        </w:tblPrEx>
        <w:trPr>
          <w:trHeight w:val="316" w:hRule="atLeast"/>
        </w:trPr>
        <w:tc>
          <w:tcPr>
            <w:tcW w:w="233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科目编码</w:t>
            </w:r>
          </w:p>
        </w:tc>
        <w:tc>
          <w:tcPr>
            <w:tcW w:w="3886"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789"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本年支出合计</w:t>
            </w:r>
          </w:p>
        </w:tc>
        <w:tc>
          <w:tcPr>
            <w:tcW w:w="957"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1498"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上缴上级支出</w:t>
            </w:r>
          </w:p>
        </w:tc>
        <w:tc>
          <w:tcPr>
            <w:tcW w:w="954"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经营支出</w:t>
            </w:r>
          </w:p>
        </w:tc>
        <w:tc>
          <w:tcPr>
            <w:tcW w:w="3111"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对附属单位补助支出</w:t>
            </w:r>
          </w:p>
        </w:tc>
      </w:tr>
      <w:tr>
        <w:tblPrEx>
          <w:tblLayout w:type="fixed"/>
          <w:tblCellMar>
            <w:top w:w="15" w:type="dxa"/>
            <w:left w:w="15" w:type="dxa"/>
            <w:bottom w:w="15" w:type="dxa"/>
            <w:right w:w="15" w:type="dxa"/>
          </w:tblCellMar>
        </w:tblPrEx>
        <w:trPr>
          <w:trHeight w:val="316" w:hRule="atLeast"/>
        </w:trPr>
        <w:tc>
          <w:tcPr>
            <w:tcW w:w="233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8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78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49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11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16" w:hRule="atLeast"/>
        </w:trPr>
        <w:tc>
          <w:tcPr>
            <w:tcW w:w="233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8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78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49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11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16" w:hRule="atLeast"/>
        </w:trPr>
        <w:tc>
          <w:tcPr>
            <w:tcW w:w="233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8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78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49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11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431" w:type="dxa"/>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类</w:t>
            </w:r>
          </w:p>
        </w:tc>
        <w:tc>
          <w:tcPr>
            <w:tcW w:w="95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款</w:t>
            </w:r>
          </w:p>
        </w:tc>
        <w:tc>
          <w:tcPr>
            <w:tcW w:w="951"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w:t>
            </w:r>
          </w:p>
        </w:tc>
        <w:tc>
          <w:tcPr>
            <w:tcW w:w="388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1789"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57"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96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498"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954"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3111"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r>
      <w:tr>
        <w:tblPrEx>
          <w:tblLayout w:type="fixed"/>
          <w:tblCellMar>
            <w:top w:w="15" w:type="dxa"/>
            <w:left w:w="15" w:type="dxa"/>
            <w:bottom w:w="15" w:type="dxa"/>
            <w:right w:w="15" w:type="dxa"/>
          </w:tblCellMar>
        </w:tblPrEx>
        <w:trPr>
          <w:trHeight w:val="301" w:hRule="atLeast"/>
        </w:trPr>
        <w:tc>
          <w:tcPr>
            <w:tcW w:w="431"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88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1,994.56</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914.58</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1,079.98</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一般公共服务支出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961.35</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914.58</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20102</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政协事务</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2010201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行政运行</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20103</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政府办公厅（室）及相关机构事务</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2010301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行政运行</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20123</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民族事务</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2012301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行政运行</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207</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文化体育与传媒支出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20701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文化</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2070109</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群众文化</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社会保障和就业支出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20810</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社会福利</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2081001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儿童福利</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20825</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其他生活救助</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2082502</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其他农村生活救助</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210</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医疗卫生与计划生育支出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21007</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计划生育事务</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2100717</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计划生育服务</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节能环保支出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21104</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自然生态保护</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2110402</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农村环境保护</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212</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城乡社区支出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21203</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城乡社区公共设施</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2120303</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小城镇基础设施建设</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农林水支出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510.97</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510.97</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21301</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农业</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71.65</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71.65</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2130126</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农村公益事业</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1.65</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1.65</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2130142</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农村道路建设</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21303</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2130314</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防汛</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2130315</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抗旱</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21307</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农村综合改革</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2130705</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对村民委员会和村党支部的补助</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215</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资源勘探信息等支出</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21506</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安全生产监管</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2"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2150605</w:t>
            </w:r>
          </w:p>
        </w:tc>
        <w:tc>
          <w:tcPr>
            <w:tcW w:w="3886"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安全监管监察专项</w:t>
            </w:r>
          </w:p>
        </w:tc>
        <w:tc>
          <w:tcPr>
            <w:tcW w:w="1789"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149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4"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311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5487" w:type="dxa"/>
            <w:gridSpan w:val="10"/>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注：本表反映部门本年度各项支出情况。</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292" w:type="dxa"/>
        <w:tblInd w:w="0" w:type="dxa"/>
        <w:tblLayout w:type="fixed"/>
        <w:tblCellMar>
          <w:top w:w="15" w:type="dxa"/>
          <w:left w:w="15" w:type="dxa"/>
          <w:bottom w:w="15" w:type="dxa"/>
          <w:right w:w="15" w:type="dxa"/>
        </w:tblCellMar>
      </w:tblPr>
      <w:tblGrid>
        <w:gridCol w:w="2430"/>
        <w:gridCol w:w="466"/>
        <w:gridCol w:w="2572"/>
        <w:gridCol w:w="2430"/>
        <w:gridCol w:w="466"/>
        <w:gridCol w:w="1430"/>
        <w:gridCol w:w="2513"/>
        <w:gridCol w:w="2985"/>
      </w:tblGrid>
      <w:tr>
        <w:tblPrEx>
          <w:tblLayout w:type="fixed"/>
          <w:tblCellMar>
            <w:top w:w="15" w:type="dxa"/>
            <w:left w:w="15" w:type="dxa"/>
            <w:bottom w:w="15" w:type="dxa"/>
            <w:right w:w="15" w:type="dxa"/>
          </w:tblCellMar>
        </w:tblPrEx>
        <w:trPr>
          <w:trHeight w:val="390" w:hRule="atLeast"/>
        </w:trPr>
        <w:tc>
          <w:tcPr>
            <w:tcW w:w="15292" w:type="dxa"/>
            <w:gridSpan w:val="8"/>
            <w:shd w:val="clear" w:color="auto" w:fill="auto"/>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财政拨款收入支出决算总表</w:t>
            </w:r>
          </w:p>
        </w:tc>
      </w:tr>
      <w:tr>
        <w:tblPrEx>
          <w:tblLayout w:type="fixed"/>
          <w:tblCellMar>
            <w:top w:w="15" w:type="dxa"/>
            <w:left w:w="15" w:type="dxa"/>
            <w:bottom w:w="15" w:type="dxa"/>
            <w:right w:w="15" w:type="dxa"/>
          </w:tblCellMar>
        </w:tblPrEx>
        <w:trPr>
          <w:trHeight w:val="286" w:hRule="atLeast"/>
        </w:trPr>
        <w:tc>
          <w:tcPr>
            <w:tcW w:w="2430" w:type="dxa"/>
            <w:shd w:val="clear" w:color="auto" w:fill="auto"/>
            <w:vAlign w:val="bottom"/>
          </w:tcPr>
          <w:p>
            <w:pPr>
              <w:rPr>
                <w:rFonts w:ascii="Arial" w:hAnsi="Arial" w:cs="Arial"/>
                <w:color w:val="000000"/>
                <w:sz w:val="20"/>
                <w:szCs w:val="20"/>
              </w:rPr>
            </w:pPr>
          </w:p>
        </w:tc>
        <w:tc>
          <w:tcPr>
            <w:tcW w:w="466" w:type="dxa"/>
            <w:shd w:val="clear" w:color="auto" w:fill="auto"/>
            <w:vAlign w:val="bottom"/>
          </w:tcPr>
          <w:p>
            <w:pPr>
              <w:rPr>
                <w:rFonts w:ascii="Arial" w:hAnsi="Arial" w:cs="Arial"/>
                <w:color w:val="000000"/>
                <w:sz w:val="20"/>
                <w:szCs w:val="20"/>
              </w:rPr>
            </w:pPr>
          </w:p>
        </w:tc>
        <w:tc>
          <w:tcPr>
            <w:tcW w:w="2572" w:type="dxa"/>
            <w:shd w:val="clear" w:color="auto" w:fill="auto"/>
            <w:vAlign w:val="bottom"/>
          </w:tcPr>
          <w:p>
            <w:pPr>
              <w:rPr>
                <w:rFonts w:ascii="Arial" w:hAnsi="Arial" w:cs="Arial"/>
                <w:color w:val="000000"/>
                <w:sz w:val="20"/>
                <w:szCs w:val="20"/>
              </w:rPr>
            </w:pPr>
          </w:p>
        </w:tc>
        <w:tc>
          <w:tcPr>
            <w:tcW w:w="2430" w:type="dxa"/>
            <w:shd w:val="clear" w:color="auto" w:fill="auto"/>
            <w:vAlign w:val="bottom"/>
          </w:tcPr>
          <w:p>
            <w:pPr>
              <w:rPr>
                <w:rFonts w:ascii="Arial" w:hAnsi="Arial" w:cs="Arial"/>
                <w:color w:val="000000"/>
                <w:sz w:val="20"/>
                <w:szCs w:val="20"/>
              </w:rPr>
            </w:pPr>
          </w:p>
        </w:tc>
        <w:tc>
          <w:tcPr>
            <w:tcW w:w="466" w:type="dxa"/>
            <w:shd w:val="clear" w:color="auto" w:fill="auto"/>
            <w:vAlign w:val="bottom"/>
          </w:tcPr>
          <w:p>
            <w:pPr>
              <w:rPr>
                <w:rFonts w:ascii="Arial" w:hAnsi="Arial" w:cs="Arial"/>
                <w:color w:val="000000"/>
                <w:sz w:val="20"/>
                <w:szCs w:val="20"/>
              </w:rPr>
            </w:pPr>
          </w:p>
        </w:tc>
        <w:tc>
          <w:tcPr>
            <w:tcW w:w="1430" w:type="dxa"/>
            <w:shd w:val="clear" w:color="auto" w:fill="auto"/>
            <w:vAlign w:val="bottom"/>
          </w:tcPr>
          <w:p>
            <w:pPr>
              <w:rPr>
                <w:rFonts w:ascii="Arial" w:hAnsi="Arial" w:cs="Arial"/>
                <w:color w:val="000000"/>
                <w:sz w:val="20"/>
                <w:szCs w:val="20"/>
              </w:rPr>
            </w:pPr>
          </w:p>
        </w:tc>
        <w:tc>
          <w:tcPr>
            <w:tcW w:w="2513" w:type="dxa"/>
            <w:shd w:val="clear" w:color="auto" w:fill="auto"/>
            <w:vAlign w:val="bottom"/>
          </w:tcPr>
          <w:p>
            <w:pPr>
              <w:rPr>
                <w:rFonts w:ascii="Arial" w:hAnsi="Arial" w:cs="Arial"/>
                <w:color w:val="000000"/>
                <w:sz w:val="20"/>
                <w:szCs w:val="20"/>
              </w:rPr>
            </w:pPr>
          </w:p>
        </w:tc>
        <w:tc>
          <w:tcPr>
            <w:tcW w:w="2985"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Layout w:type="fixed"/>
          <w:tblCellMar>
            <w:top w:w="15" w:type="dxa"/>
            <w:left w:w="15" w:type="dxa"/>
            <w:bottom w:w="15" w:type="dxa"/>
            <w:right w:w="15" w:type="dxa"/>
          </w:tblCellMar>
        </w:tblPrEx>
        <w:trPr>
          <w:trHeight w:val="286" w:hRule="atLeast"/>
        </w:trPr>
        <w:tc>
          <w:tcPr>
            <w:tcW w:w="5468" w:type="dxa"/>
            <w:gridSpan w:val="3"/>
            <w:shd w:val="clear" w:color="auto" w:fill="auto"/>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部门：南宫市段芦头镇人民政府（本级）</w:t>
            </w:r>
          </w:p>
        </w:tc>
        <w:tc>
          <w:tcPr>
            <w:tcW w:w="2430" w:type="dxa"/>
            <w:shd w:val="clear" w:color="auto" w:fill="auto"/>
            <w:vAlign w:val="bottom"/>
          </w:tcPr>
          <w:p>
            <w:pPr>
              <w:rPr>
                <w:rFonts w:ascii="Arial" w:hAnsi="Arial" w:cs="Arial"/>
                <w:color w:val="000000"/>
                <w:sz w:val="20"/>
                <w:szCs w:val="20"/>
              </w:rPr>
            </w:pPr>
          </w:p>
        </w:tc>
        <w:tc>
          <w:tcPr>
            <w:tcW w:w="466" w:type="dxa"/>
            <w:shd w:val="clear" w:color="auto" w:fill="auto"/>
            <w:vAlign w:val="bottom"/>
          </w:tcPr>
          <w:p>
            <w:pPr>
              <w:rPr>
                <w:rFonts w:ascii="Arial" w:hAnsi="Arial" w:cs="Arial"/>
                <w:color w:val="000000"/>
                <w:sz w:val="20"/>
                <w:szCs w:val="20"/>
              </w:rPr>
            </w:pPr>
          </w:p>
        </w:tc>
        <w:tc>
          <w:tcPr>
            <w:tcW w:w="1430" w:type="dxa"/>
            <w:shd w:val="clear" w:color="auto" w:fill="auto"/>
            <w:vAlign w:val="bottom"/>
          </w:tcPr>
          <w:p>
            <w:pPr>
              <w:rPr>
                <w:rFonts w:ascii="Arial" w:hAnsi="Arial" w:cs="Arial"/>
                <w:color w:val="000000"/>
                <w:sz w:val="20"/>
                <w:szCs w:val="20"/>
              </w:rPr>
            </w:pPr>
          </w:p>
        </w:tc>
        <w:tc>
          <w:tcPr>
            <w:tcW w:w="2513" w:type="dxa"/>
            <w:shd w:val="clear" w:color="auto" w:fill="auto"/>
            <w:vAlign w:val="bottom"/>
          </w:tcPr>
          <w:p>
            <w:pPr>
              <w:rPr>
                <w:rFonts w:ascii="Arial" w:hAnsi="Arial" w:cs="Arial"/>
                <w:color w:val="000000"/>
                <w:sz w:val="20"/>
                <w:szCs w:val="20"/>
              </w:rPr>
            </w:pPr>
          </w:p>
        </w:tc>
        <w:tc>
          <w:tcPr>
            <w:tcW w:w="2985"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15" w:type="dxa"/>
            <w:left w:w="15" w:type="dxa"/>
            <w:bottom w:w="15" w:type="dxa"/>
            <w:right w:w="15" w:type="dxa"/>
          </w:tblCellMar>
        </w:tblPrEx>
        <w:trPr>
          <w:trHeight w:val="301" w:hRule="atLeast"/>
        </w:trPr>
        <w:tc>
          <w:tcPr>
            <w:tcW w:w="5468"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收     入</w:t>
            </w:r>
          </w:p>
        </w:tc>
        <w:tc>
          <w:tcPr>
            <w:tcW w:w="9824" w:type="dxa"/>
            <w:gridSpan w:val="5"/>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支     出</w:t>
            </w:r>
          </w:p>
        </w:tc>
      </w:tr>
      <w:tr>
        <w:tblPrEx>
          <w:tblLayout w:type="fixed"/>
          <w:tblCellMar>
            <w:top w:w="15" w:type="dxa"/>
            <w:left w:w="15" w:type="dxa"/>
            <w:bottom w:w="15" w:type="dxa"/>
            <w:right w:w="15" w:type="dxa"/>
          </w:tblCellMar>
        </w:tblPrEx>
        <w:trPr>
          <w:trHeight w:val="316" w:hRule="atLeast"/>
        </w:trPr>
        <w:tc>
          <w:tcPr>
            <w:tcW w:w="2430" w:type="dxa"/>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466"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行次</w:t>
            </w:r>
          </w:p>
        </w:tc>
        <w:tc>
          <w:tcPr>
            <w:tcW w:w="2572"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w:t>
            </w:r>
          </w:p>
        </w:tc>
        <w:tc>
          <w:tcPr>
            <w:tcW w:w="243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466"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行次</w:t>
            </w:r>
          </w:p>
        </w:tc>
        <w:tc>
          <w:tcPr>
            <w:tcW w:w="143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2513"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一般公共预算财政拨款</w:t>
            </w:r>
          </w:p>
        </w:tc>
        <w:tc>
          <w:tcPr>
            <w:tcW w:w="298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政府性基金预算财政拨款</w:t>
            </w:r>
          </w:p>
        </w:tc>
      </w:tr>
      <w:tr>
        <w:tblPrEx>
          <w:tblLayout w:type="fixed"/>
        </w:tblPrEx>
        <w:trPr>
          <w:trHeight w:val="615" w:hRule="atLeast"/>
        </w:trPr>
        <w:tc>
          <w:tcPr>
            <w:tcW w:w="2430"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46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572"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43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46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43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513"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98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466" w:type="dxa"/>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572"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43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466" w:type="dxa"/>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43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513"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98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一、一般公共预算财政拨款</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57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2,007.25</w:t>
            </w: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一、一般公共服务支出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961.35</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961.35</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二、政府性基金预算财政拨款</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57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二、外交支出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29</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三、国防支出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四、公共安全支出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五、教育支出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六、科学技术支出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33</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七、文化体育与传媒支出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34</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八、社会保障和就业支出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九、医疗卫生与计划生育支出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36</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十、节能环保支出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十一、城乡社区支出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38</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十二、农林水支出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510.97</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510.97</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十三、交通运输支出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十四、资源勘探信息等支出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41</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十五、商业服务业等支出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十六、金融支出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十七、援助其他地区支出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十八、国土海洋气象等支出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十九、住房保障支出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二十、粮油物资储备支出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47</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二十一、其他支出</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本年收入合计</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w:t>
            </w:r>
          </w:p>
        </w:tc>
        <w:tc>
          <w:tcPr>
            <w:tcW w:w="257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2,007.25</w:t>
            </w:r>
          </w:p>
        </w:tc>
        <w:tc>
          <w:tcPr>
            <w:tcW w:w="243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本年支出合计</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49</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1,994.56</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1,994.56</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年初财政拨款结转和结余</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w:t>
            </w:r>
          </w:p>
        </w:tc>
        <w:tc>
          <w:tcPr>
            <w:tcW w:w="257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2430"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年末财政拨款结转和结余</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50</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54.87</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54.87</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一般公共预算财政拨款</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257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2430"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w:t>
            </w:r>
          </w:p>
        </w:tc>
        <w:tc>
          <w:tcPr>
            <w:tcW w:w="143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513"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9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政府性基金预算财政拨款</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25</w:t>
            </w:r>
          </w:p>
        </w:tc>
        <w:tc>
          <w:tcPr>
            <w:tcW w:w="257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30"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w:t>
            </w:r>
          </w:p>
        </w:tc>
        <w:tc>
          <w:tcPr>
            <w:tcW w:w="143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513"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9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26</w:t>
            </w:r>
          </w:p>
        </w:tc>
        <w:tc>
          <w:tcPr>
            <w:tcW w:w="2572"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30"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w:t>
            </w:r>
          </w:p>
        </w:tc>
        <w:tc>
          <w:tcPr>
            <w:tcW w:w="143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513"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9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30"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总计</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w:t>
            </w:r>
          </w:p>
        </w:tc>
        <w:tc>
          <w:tcPr>
            <w:tcW w:w="257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2,049.43</w:t>
            </w:r>
          </w:p>
        </w:tc>
        <w:tc>
          <w:tcPr>
            <w:tcW w:w="243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总计</w:t>
            </w:r>
          </w:p>
        </w:tc>
        <w:tc>
          <w:tcPr>
            <w:tcW w:w="46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54</w:t>
            </w:r>
          </w:p>
        </w:tc>
        <w:tc>
          <w:tcPr>
            <w:tcW w:w="143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2,049.43</w:t>
            </w:r>
          </w:p>
        </w:tc>
        <w:tc>
          <w:tcPr>
            <w:tcW w:w="2513"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2,049.43</w:t>
            </w:r>
          </w:p>
        </w:tc>
        <w:tc>
          <w:tcPr>
            <w:tcW w:w="29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5292" w:type="dxa"/>
            <w:gridSpan w:val="8"/>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注：本表反映部门本年度一般公共预算财政拨款和政府性基金预算财政拨款的总收支和年末结转结余的情况。</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726" w:type="dxa"/>
        <w:tblInd w:w="0" w:type="dxa"/>
        <w:tblLayout w:type="fixed"/>
        <w:tblCellMar>
          <w:top w:w="15" w:type="dxa"/>
          <w:left w:w="15" w:type="dxa"/>
          <w:bottom w:w="15" w:type="dxa"/>
          <w:right w:w="15" w:type="dxa"/>
        </w:tblCellMar>
      </w:tblPr>
      <w:tblGrid>
        <w:gridCol w:w="432"/>
        <w:gridCol w:w="385"/>
        <w:gridCol w:w="90"/>
        <w:gridCol w:w="2580"/>
        <w:gridCol w:w="705"/>
        <w:gridCol w:w="946"/>
        <w:gridCol w:w="1107"/>
        <w:gridCol w:w="951"/>
        <w:gridCol w:w="948"/>
        <w:gridCol w:w="952"/>
        <w:gridCol w:w="951"/>
        <w:gridCol w:w="948"/>
        <w:gridCol w:w="952"/>
        <w:gridCol w:w="947"/>
        <w:gridCol w:w="947"/>
        <w:gridCol w:w="947"/>
        <w:gridCol w:w="938"/>
      </w:tblGrid>
      <w:tr>
        <w:tblPrEx>
          <w:tblLayout w:type="fixed"/>
          <w:tblCellMar>
            <w:top w:w="15" w:type="dxa"/>
            <w:left w:w="15" w:type="dxa"/>
            <w:bottom w:w="15" w:type="dxa"/>
            <w:right w:w="15" w:type="dxa"/>
          </w:tblCellMar>
        </w:tblPrEx>
        <w:trPr>
          <w:trHeight w:val="390" w:hRule="atLeast"/>
        </w:trPr>
        <w:tc>
          <w:tcPr>
            <w:tcW w:w="15726" w:type="dxa"/>
            <w:gridSpan w:val="17"/>
            <w:shd w:val="clear" w:color="auto" w:fill="auto"/>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一般公共预算财政拨款收入支出决算表</w:t>
            </w:r>
          </w:p>
        </w:tc>
      </w:tr>
      <w:tr>
        <w:tblPrEx>
          <w:tblLayout w:type="fixed"/>
          <w:tblCellMar>
            <w:top w:w="15" w:type="dxa"/>
            <w:left w:w="15" w:type="dxa"/>
            <w:bottom w:w="15" w:type="dxa"/>
            <w:right w:w="15" w:type="dxa"/>
          </w:tblCellMar>
        </w:tblPrEx>
        <w:trPr>
          <w:trHeight w:val="286" w:hRule="atLeast"/>
        </w:trPr>
        <w:tc>
          <w:tcPr>
            <w:tcW w:w="432" w:type="dxa"/>
            <w:shd w:val="clear" w:color="auto" w:fill="auto"/>
            <w:vAlign w:val="bottom"/>
          </w:tcPr>
          <w:p>
            <w:pPr>
              <w:rPr>
                <w:rFonts w:ascii="Arial" w:hAnsi="Arial" w:cs="Arial"/>
                <w:color w:val="000000"/>
                <w:sz w:val="20"/>
                <w:szCs w:val="20"/>
              </w:rPr>
            </w:pPr>
          </w:p>
        </w:tc>
        <w:tc>
          <w:tcPr>
            <w:tcW w:w="385" w:type="dxa"/>
            <w:shd w:val="clear" w:color="auto" w:fill="auto"/>
            <w:vAlign w:val="bottom"/>
          </w:tcPr>
          <w:p>
            <w:pPr>
              <w:rPr>
                <w:rFonts w:ascii="Arial" w:hAnsi="Arial" w:cs="Arial"/>
                <w:color w:val="000000"/>
                <w:sz w:val="20"/>
                <w:szCs w:val="20"/>
              </w:rPr>
            </w:pPr>
          </w:p>
        </w:tc>
        <w:tc>
          <w:tcPr>
            <w:tcW w:w="90" w:type="dxa"/>
            <w:shd w:val="clear" w:color="auto" w:fill="auto"/>
            <w:vAlign w:val="bottom"/>
          </w:tcPr>
          <w:p>
            <w:pPr>
              <w:rPr>
                <w:rFonts w:ascii="Arial" w:hAnsi="Arial" w:cs="Arial"/>
                <w:color w:val="000000"/>
                <w:sz w:val="20"/>
                <w:szCs w:val="20"/>
              </w:rPr>
            </w:pPr>
          </w:p>
        </w:tc>
        <w:tc>
          <w:tcPr>
            <w:tcW w:w="2580" w:type="dxa"/>
            <w:shd w:val="clear" w:color="auto" w:fill="auto"/>
            <w:vAlign w:val="bottom"/>
          </w:tcPr>
          <w:p>
            <w:pPr>
              <w:rPr>
                <w:rFonts w:ascii="Arial" w:hAnsi="Arial" w:cs="Arial"/>
                <w:color w:val="000000"/>
                <w:sz w:val="20"/>
                <w:szCs w:val="20"/>
              </w:rPr>
            </w:pPr>
          </w:p>
        </w:tc>
        <w:tc>
          <w:tcPr>
            <w:tcW w:w="705" w:type="dxa"/>
            <w:shd w:val="clear" w:color="auto" w:fill="auto"/>
            <w:vAlign w:val="bottom"/>
          </w:tcPr>
          <w:p>
            <w:pPr>
              <w:rPr>
                <w:rFonts w:ascii="Arial" w:hAnsi="Arial" w:cs="Arial"/>
                <w:color w:val="000000"/>
                <w:sz w:val="20"/>
                <w:szCs w:val="20"/>
              </w:rPr>
            </w:pPr>
          </w:p>
        </w:tc>
        <w:tc>
          <w:tcPr>
            <w:tcW w:w="946" w:type="dxa"/>
            <w:shd w:val="clear" w:color="auto" w:fill="auto"/>
            <w:vAlign w:val="bottom"/>
          </w:tcPr>
          <w:p>
            <w:pPr>
              <w:rPr>
                <w:rFonts w:ascii="Arial" w:hAnsi="Arial" w:cs="Arial"/>
                <w:color w:val="000000"/>
                <w:sz w:val="20"/>
                <w:szCs w:val="20"/>
              </w:rPr>
            </w:pPr>
          </w:p>
        </w:tc>
        <w:tc>
          <w:tcPr>
            <w:tcW w:w="1107" w:type="dxa"/>
            <w:shd w:val="clear" w:color="auto" w:fill="auto"/>
            <w:vAlign w:val="bottom"/>
          </w:tcPr>
          <w:p>
            <w:pPr>
              <w:rPr>
                <w:rFonts w:ascii="Arial" w:hAnsi="Arial" w:cs="Arial"/>
                <w:color w:val="000000"/>
                <w:sz w:val="20"/>
                <w:szCs w:val="20"/>
              </w:rPr>
            </w:pPr>
          </w:p>
        </w:tc>
        <w:tc>
          <w:tcPr>
            <w:tcW w:w="951" w:type="dxa"/>
            <w:shd w:val="clear" w:color="auto" w:fill="auto"/>
            <w:vAlign w:val="bottom"/>
          </w:tcPr>
          <w:p>
            <w:pPr>
              <w:rPr>
                <w:rFonts w:ascii="Arial" w:hAnsi="Arial" w:cs="Arial"/>
                <w:color w:val="000000"/>
                <w:sz w:val="20"/>
                <w:szCs w:val="20"/>
              </w:rPr>
            </w:pPr>
          </w:p>
        </w:tc>
        <w:tc>
          <w:tcPr>
            <w:tcW w:w="948" w:type="dxa"/>
            <w:shd w:val="clear" w:color="auto" w:fill="auto"/>
            <w:vAlign w:val="bottom"/>
          </w:tcPr>
          <w:p>
            <w:pPr>
              <w:rPr>
                <w:rFonts w:ascii="Arial" w:hAnsi="Arial" w:cs="Arial"/>
                <w:color w:val="000000"/>
                <w:sz w:val="20"/>
                <w:szCs w:val="20"/>
              </w:rPr>
            </w:pPr>
          </w:p>
        </w:tc>
        <w:tc>
          <w:tcPr>
            <w:tcW w:w="952" w:type="dxa"/>
            <w:shd w:val="clear" w:color="auto" w:fill="auto"/>
            <w:vAlign w:val="bottom"/>
          </w:tcPr>
          <w:p>
            <w:pPr>
              <w:rPr>
                <w:rFonts w:ascii="Arial" w:hAnsi="Arial" w:cs="Arial"/>
                <w:color w:val="000000"/>
                <w:sz w:val="20"/>
                <w:szCs w:val="20"/>
              </w:rPr>
            </w:pPr>
          </w:p>
        </w:tc>
        <w:tc>
          <w:tcPr>
            <w:tcW w:w="951" w:type="dxa"/>
            <w:shd w:val="clear" w:color="auto" w:fill="auto"/>
            <w:vAlign w:val="bottom"/>
          </w:tcPr>
          <w:p>
            <w:pPr>
              <w:rPr>
                <w:rFonts w:ascii="Arial" w:hAnsi="Arial" w:cs="Arial"/>
                <w:color w:val="000000"/>
                <w:sz w:val="20"/>
                <w:szCs w:val="20"/>
              </w:rPr>
            </w:pPr>
          </w:p>
        </w:tc>
        <w:tc>
          <w:tcPr>
            <w:tcW w:w="948" w:type="dxa"/>
            <w:shd w:val="clear" w:color="auto" w:fill="auto"/>
            <w:vAlign w:val="bottom"/>
          </w:tcPr>
          <w:p>
            <w:pPr>
              <w:rPr>
                <w:rFonts w:ascii="Arial" w:hAnsi="Arial" w:cs="Arial"/>
                <w:color w:val="000000"/>
                <w:sz w:val="20"/>
                <w:szCs w:val="20"/>
              </w:rPr>
            </w:pPr>
          </w:p>
        </w:tc>
        <w:tc>
          <w:tcPr>
            <w:tcW w:w="952" w:type="dxa"/>
            <w:shd w:val="clear" w:color="auto" w:fill="auto"/>
            <w:vAlign w:val="bottom"/>
          </w:tcPr>
          <w:p>
            <w:pPr>
              <w:rPr>
                <w:rFonts w:ascii="Arial" w:hAnsi="Arial" w:cs="Arial"/>
                <w:color w:val="000000"/>
                <w:sz w:val="20"/>
                <w:szCs w:val="20"/>
              </w:rPr>
            </w:pPr>
          </w:p>
        </w:tc>
        <w:tc>
          <w:tcPr>
            <w:tcW w:w="947" w:type="dxa"/>
            <w:shd w:val="clear" w:color="auto" w:fill="auto"/>
            <w:vAlign w:val="bottom"/>
          </w:tcPr>
          <w:p>
            <w:pPr>
              <w:rPr>
                <w:rFonts w:ascii="Arial" w:hAnsi="Arial" w:cs="Arial"/>
                <w:color w:val="000000"/>
                <w:sz w:val="20"/>
                <w:szCs w:val="20"/>
              </w:rPr>
            </w:pPr>
          </w:p>
        </w:tc>
        <w:tc>
          <w:tcPr>
            <w:tcW w:w="947" w:type="dxa"/>
            <w:shd w:val="clear" w:color="auto" w:fill="auto"/>
            <w:vAlign w:val="bottom"/>
          </w:tcPr>
          <w:p>
            <w:pPr>
              <w:rPr>
                <w:rFonts w:ascii="Arial" w:hAnsi="Arial" w:cs="Arial"/>
                <w:color w:val="000000"/>
                <w:sz w:val="20"/>
                <w:szCs w:val="20"/>
              </w:rPr>
            </w:pPr>
          </w:p>
        </w:tc>
        <w:tc>
          <w:tcPr>
            <w:tcW w:w="947" w:type="dxa"/>
            <w:shd w:val="clear" w:color="auto" w:fill="auto"/>
            <w:vAlign w:val="bottom"/>
          </w:tcPr>
          <w:p>
            <w:pPr>
              <w:rPr>
                <w:rFonts w:ascii="Arial" w:hAnsi="Arial" w:cs="Arial"/>
                <w:color w:val="000000"/>
                <w:sz w:val="20"/>
                <w:szCs w:val="20"/>
              </w:rPr>
            </w:pPr>
          </w:p>
        </w:tc>
        <w:tc>
          <w:tcPr>
            <w:tcW w:w="938"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Layout w:type="fixed"/>
          <w:tblCellMar>
            <w:top w:w="15" w:type="dxa"/>
            <w:left w:w="15" w:type="dxa"/>
            <w:bottom w:w="15" w:type="dxa"/>
            <w:right w:w="15" w:type="dxa"/>
          </w:tblCellMar>
        </w:tblPrEx>
        <w:trPr>
          <w:trHeight w:val="452" w:hRule="atLeast"/>
        </w:trPr>
        <w:tc>
          <w:tcPr>
            <w:tcW w:w="3487" w:type="dxa"/>
            <w:gridSpan w:val="4"/>
            <w:shd w:val="clear" w:color="auto" w:fill="auto"/>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部门：南宫市段芦头镇人民政府（本级）</w:t>
            </w:r>
          </w:p>
        </w:tc>
        <w:tc>
          <w:tcPr>
            <w:tcW w:w="705" w:type="dxa"/>
            <w:shd w:val="clear" w:color="auto" w:fill="auto"/>
            <w:vAlign w:val="bottom"/>
          </w:tcPr>
          <w:p>
            <w:pPr>
              <w:rPr>
                <w:rFonts w:ascii="Arial" w:hAnsi="Arial" w:cs="Arial"/>
                <w:color w:val="000000"/>
                <w:sz w:val="20"/>
                <w:szCs w:val="20"/>
              </w:rPr>
            </w:pPr>
          </w:p>
        </w:tc>
        <w:tc>
          <w:tcPr>
            <w:tcW w:w="946" w:type="dxa"/>
            <w:shd w:val="clear" w:color="auto" w:fill="auto"/>
            <w:vAlign w:val="bottom"/>
          </w:tcPr>
          <w:p>
            <w:pPr>
              <w:rPr>
                <w:rFonts w:ascii="Arial" w:hAnsi="Arial" w:cs="Arial"/>
                <w:color w:val="000000"/>
                <w:sz w:val="20"/>
                <w:szCs w:val="20"/>
              </w:rPr>
            </w:pPr>
          </w:p>
        </w:tc>
        <w:tc>
          <w:tcPr>
            <w:tcW w:w="1107" w:type="dxa"/>
            <w:shd w:val="clear" w:color="auto" w:fill="auto"/>
            <w:vAlign w:val="bottom"/>
          </w:tcPr>
          <w:p>
            <w:pPr>
              <w:rPr>
                <w:rFonts w:ascii="Arial" w:hAnsi="Arial" w:cs="Arial"/>
                <w:color w:val="000000"/>
                <w:sz w:val="20"/>
                <w:szCs w:val="20"/>
              </w:rPr>
            </w:pPr>
          </w:p>
        </w:tc>
        <w:tc>
          <w:tcPr>
            <w:tcW w:w="951" w:type="dxa"/>
            <w:shd w:val="clear" w:color="auto" w:fill="auto"/>
            <w:vAlign w:val="bottom"/>
          </w:tcPr>
          <w:p>
            <w:pPr>
              <w:rPr>
                <w:rFonts w:ascii="Arial" w:hAnsi="Arial" w:cs="Arial"/>
                <w:color w:val="000000"/>
                <w:sz w:val="20"/>
                <w:szCs w:val="20"/>
              </w:rPr>
            </w:pPr>
          </w:p>
        </w:tc>
        <w:tc>
          <w:tcPr>
            <w:tcW w:w="948" w:type="dxa"/>
            <w:shd w:val="clear" w:color="auto" w:fill="auto"/>
            <w:vAlign w:val="bottom"/>
          </w:tcPr>
          <w:p>
            <w:pPr>
              <w:rPr>
                <w:rFonts w:ascii="Arial" w:hAnsi="Arial" w:cs="Arial"/>
                <w:color w:val="000000"/>
                <w:sz w:val="20"/>
                <w:szCs w:val="20"/>
              </w:rPr>
            </w:pPr>
          </w:p>
        </w:tc>
        <w:tc>
          <w:tcPr>
            <w:tcW w:w="952" w:type="dxa"/>
            <w:shd w:val="clear" w:color="auto" w:fill="auto"/>
            <w:vAlign w:val="bottom"/>
          </w:tcPr>
          <w:p>
            <w:pPr>
              <w:rPr>
                <w:rFonts w:ascii="Arial" w:hAnsi="Arial" w:cs="Arial"/>
                <w:color w:val="000000"/>
                <w:sz w:val="20"/>
                <w:szCs w:val="20"/>
              </w:rPr>
            </w:pPr>
          </w:p>
        </w:tc>
        <w:tc>
          <w:tcPr>
            <w:tcW w:w="951" w:type="dxa"/>
            <w:shd w:val="clear" w:color="auto" w:fill="auto"/>
            <w:vAlign w:val="bottom"/>
          </w:tcPr>
          <w:p>
            <w:pPr>
              <w:rPr>
                <w:rFonts w:ascii="Arial" w:hAnsi="Arial" w:cs="Arial"/>
                <w:color w:val="000000"/>
                <w:sz w:val="20"/>
                <w:szCs w:val="20"/>
              </w:rPr>
            </w:pPr>
          </w:p>
        </w:tc>
        <w:tc>
          <w:tcPr>
            <w:tcW w:w="948" w:type="dxa"/>
            <w:shd w:val="clear" w:color="auto" w:fill="auto"/>
            <w:vAlign w:val="bottom"/>
          </w:tcPr>
          <w:p>
            <w:pPr>
              <w:rPr>
                <w:rFonts w:ascii="Arial" w:hAnsi="Arial" w:cs="Arial"/>
                <w:color w:val="000000"/>
                <w:sz w:val="20"/>
                <w:szCs w:val="20"/>
              </w:rPr>
            </w:pPr>
          </w:p>
        </w:tc>
        <w:tc>
          <w:tcPr>
            <w:tcW w:w="952" w:type="dxa"/>
            <w:shd w:val="clear" w:color="auto" w:fill="auto"/>
            <w:vAlign w:val="bottom"/>
          </w:tcPr>
          <w:p>
            <w:pPr>
              <w:rPr>
                <w:rFonts w:ascii="Arial" w:hAnsi="Arial" w:cs="Arial"/>
                <w:color w:val="000000"/>
                <w:sz w:val="20"/>
                <w:szCs w:val="20"/>
              </w:rPr>
            </w:pPr>
          </w:p>
        </w:tc>
        <w:tc>
          <w:tcPr>
            <w:tcW w:w="947" w:type="dxa"/>
            <w:shd w:val="clear" w:color="auto" w:fill="auto"/>
            <w:vAlign w:val="bottom"/>
          </w:tcPr>
          <w:p>
            <w:pPr>
              <w:rPr>
                <w:rFonts w:ascii="Arial" w:hAnsi="Arial" w:cs="Arial"/>
                <w:color w:val="000000"/>
                <w:sz w:val="20"/>
                <w:szCs w:val="20"/>
              </w:rPr>
            </w:pPr>
          </w:p>
        </w:tc>
        <w:tc>
          <w:tcPr>
            <w:tcW w:w="947" w:type="dxa"/>
            <w:shd w:val="clear" w:color="auto" w:fill="auto"/>
            <w:vAlign w:val="bottom"/>
          </w:tcPr>
          <w:p>
            <w:pPr>
              <w:rPr>
                <w:rFonts w:ascii="Arial" w:hAnsi="Arial" w:cs="Arial"/>
                <w:color w:val="000000"/>
                <w:sz w:val="20"/>
                <w:szCs w:val="20"/>
              </w:rPr>
            </w:pPr>
          </w:p>
        </w:tc>
        <w:tc>
          <w:tcPr>
            <w:tcW w:w="947" w:type="dxa"/>
            <w:shd w:val="clear" w:color="auto" w:fill="auto"/>
            <w:vAlign w:val="bottom"/>
          </w:tcPr>
          <w:p>
            <w:pPr>
              <w:rPr>
                <w:rFonts w:ascii="Arial" w:hAnsi="Arial" w:cs="Arial"/>
                <w:color w:val="000000"/>
                <w:sz w:val="20"/>
                <w:szCs w:val="20"/>
              </w:rPr>
            </w:pPr>
          </w:p>
        </w:tc>
        <w:tc>
          <w:tcPr>
            <w:tcW w:w="938"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15" w:type="dxa"/>
            <w:left w:w="15" w:type="dxa"/>
            <w:bottom w:w="15" w:type="dxa"/>
            <w:right w:w="15" w:type="dxa"/>
          </w:tblCellMar>
        </w:tblPrEx>
        <w:trPr>
          <w:trHeight w:val="301" w:hRule="atLeast"/>
        </w:trPr>
        <w:tc>
          <w:tcPr>
            <w:tcW w:w="907"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科目编码</w:t>
            </w:r>
          </w:p>
        </w:tc>
        <w:tc>
          <w:tcPr>
            <w:tcW w:w="2580"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2758" w:type="dxa"/>
            <w:gridSpan w:val="3"/>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年初结转和结余</w:t>
            </w:r>
          </w:p>
        </w:tc>
        <w:tc>
          <w:tcPr>
            <w:tcW w:w="2851" w:type="dxa"/>
            <w:gridSpan w:val="3"/>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本年收入</w:t>
            </w:r>
          </w:p>
        </w:tc>
        <w:tc>
          <w:tcPr>
            <w:tcW w:w="2851" w:type="dxa"/>
            <w:gridSpan w:val="3"/>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w:t>
            </w:r>
          </w:p>
        </w:tc>
        <w:tc>
          <w:tcPr>
            <w:tcW w:w="3779" w:type="dxa"/>
            <w:gridSpan w:val="4"/>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年末结转和结余</w:t>
            </w:r>
          </w:p>
        </w:tc>
      </w:tr>
      <w:tr>
        <w:tblPrEx>
          <w:tblLayout w:type="fixed"/>
          <w:tblCellMar>
            <w:top w:w="15" w:type="dxa"/>
            <w:left w:w="15" w:type="dxa"/>
            <w:bottom w:w="15" w:type="dxa"/>
            <w:right w:w="15" w:type="dxa"/>
          </w:tblCellMar>
        </w:tblPrEx>
        <w:trPr>
          <w:trHeight w:val="301" w:hRule="atLeast"/>
        </w:trPr>
        <w:tc>
          <w:tcPr>
            <w:tcW w:w="907"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5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70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46"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基本支出结转</w:t>
            </w:r>
          </w:p>
        </w:tc>
        <w:tc>
          <w:tcPr>
            <w:tcW w:w="1107"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项目支出结转和结余</w:t>
            </w:r>
          </w:p>
        </w:tc>
        <w:tc>
          <w:tcPr>
            <w:tcW w:w="951"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48"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952"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951"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48"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952"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947"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47"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基本支出结转</w:t>
            </w:r>
          </w:p>
        </w:tc>
        <w:tc>
          <w:tcPr>
            <w:tcW w:w="1885" w:type="dxa"/>
            <w:gridSpan w:val="2"/>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项目支出结转和结余</w:t>
            </w:r>
          </w:p>
        </w:tc>
      </w:tr>
      <w:tr>
        <w:tblPrEx>
          <w:tblLayout w:type="fixed"/>
        </w:tblPrEx>
        <w:trPr>
          <w:trHeight w:val="316" w:hRule="atLeast"/>
        </w:trPr>
        <w:tc>
          <w:tcPr>
            <w:tcW w:w="907"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5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70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107"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8"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2"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8"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2"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7"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7"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7"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项目支出结转</w:t>
            </w:r>
          </w:p>
        </w:tc>
        <w:tc>
          <w:tcPr>
            <w:tcW w:w="938"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项目支出结余</w:t>
            </w:r>
          </w:p>
        </w:tc>
      </w:tr>
      <w:tr>
        <w:tblPrEx>
          <w:tblLayout w:type="fixed"/>
          <w:tblCellMar>
            <w:top w:w="15" w:type="dxa"/>
            <w:left w:w="15" w:type="dxa"/>
            <w:bottom w:w="15" w:type="dxa"/>
            <w:right w:w="15" w:type="dxa"/>
          </w:tblCellMar>
        </w:tblPrEx>
        <w:trPr>
          <w:trHeight w:val="615" w:hRule="atLeast"/>
        </w:trPr>
        <w:tc>
          <w:tcPr>
            <w:tcW w:w="907"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5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70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107"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8"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2"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8"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2"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7"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7"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7"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38"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432" w:type="dxa"/>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类</w:t>
            </w:r>
          </w:p>
        </w:tc>
        <w:tc>
          <w:tcPr>
            <w:tcW w:w="38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款</w:t>
            </w:r>
          </w:p>
        </w:tc>
        <w:tc>
          <w:tcPr>
            <w:tcW w:w="9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w:t>
            </w:r>
          </w:p>
        </w:tc>
        <w:tc>
          <w:tcPr>
            <w:tcW w:w="258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70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4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07"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951"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948"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952"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951"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948"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952"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947"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947"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947"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938"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r>
      <w:tr>
        <w:tblPrEx>
          <w:tblLayout w:type="fixed"/>
          <w:tblCellMar>
            <w:top w:w="15" w:type="dxa"/>
            <w:left w:w="15" w:type="dxa"/>
            <w:bottom w:w="15" w:type="dxa"/>
            <w:right w:w="15" w:type="dxa"/>
          </w:tblCellMar>
        </w:tblPrEx>
        <w:trPr>
          <w:trHeight w:val="301" w:hRule="atLeast"/>
        </w:trPr>
        <w:tc>
          <w:tcPr>
            <w:tcW w:w="43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8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58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42.19</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42.19</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2,007.25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914.58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1,092.66</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1,994.56</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914.58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1,079.98</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54.87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42.19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12.69</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一般公共服务支出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961.35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914.58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961.35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914.58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20102</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政协事务</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2010201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行政运行</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46.77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20103</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政府办公厅（室）及相关机构事务</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2010301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行政运行</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913.58</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42.19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20123</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民族事务</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2012301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行政运行</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207</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文化体育与传媒支出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20701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文化</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2070109</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群众文化</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0.99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社会保障和就业支出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20810</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社会福利</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2081001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儿童福利</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0.05</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20825</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其他生活救助</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2082502</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其他农村生活救助</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17.42</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210</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医疗卫生与计划生育支出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21007</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计划生育事务</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2100717</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计划生育服务</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20.87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节能环保支出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21104</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自然生态保护</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2110402</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农村环境保护</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22.40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212</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城乡社区支出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21203</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城乡社区公共设施</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2120303</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小城镇基础设施建设</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458.51</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农林水支出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523.65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523.65</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510.97</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510.97</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12.69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12.69</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21301</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农业</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71.65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71.65</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71.65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71.65</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2130126</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农村公益事业</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1.65</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1.65</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1.65</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2130142</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农村道路建设</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21303</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水利</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2130314</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防汛</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2130315</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抗旱</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21307</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农村综合改革</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449.00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449.00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12.69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12.69</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2130705</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对村民委员会和村党支部的补助</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449.00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449.00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436.31</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12.69</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12.69</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215</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资源勘探信息等支出</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21506</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安全生产监管</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907" w:type="dxa"/>
            <w:gridSpan w:val="3"/>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2150605</w:t>
            </w:r>
          </w:p>
        </w:tc>
        <w:tc>
          <w:tcPr>
            <w:tcW w:w="2580" w:type="dxa"/>
            <w:tcBorders>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安全监管监察专项</w:t>
            </w:r>
          </w:p>
        </w:tc>
        <w:tc>
          <w:tcPr>
            <w:tcW w:w="70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10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5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52"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47"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3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5726" w:type="dxa"/>
            <w:gridSpan w:val="17"/>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注：本表反映部门本年度一般公共预算财政拨款收入及支出情况。本部门本年度无一般公共预算财政拨款收入及支出情况，按要求以空表列示。</w:t>
            </w:r>
          </w:p>
        </w:tc>
      </w:tr>
      <w:tr>
        <w:tblPrEx>
          <w:tblLayout w:type="fixed"/>
          <w:tblCellMar>
            <w:top w:w="15" w:type="dxa"/>
            <w:left w:w="15" w:type="dxa"/>
            <w:bottom w:w="15" w:type="dxa"/>
            <w:right w:w="15" w:type="dxa"/>
          </w:tblCellMar>
        </w:tblPrEx>
        <w:trPr>
          <w:trHeight w:val="301" w:hRule="atLeast"/>
        </w:trPr>
        <w:tc>
          <w:tcPr>
            <w:tcW w:w="15726" w:type="dxa"/>
            <w:gridSpan w:val="17"/>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2.本表批复到项级科目。</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p>
      <w:pPr>
        <w:widowControl/>
        <w:jc w:val="left"/>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p>
    <w:tbl>
      <w:tblPr>
        <w:tblStyle w:val="8"/>
        <w:tblW w:w="15545" w:type="dxa"/>
        <w:tblInd w:w="0" w:type="dxa"/>
        <w:tblLayout w:type="fixed"/>
        <w:tblCellMar>
          <w:top w:w="15" w:type="dxa"/>
          <w:left w:w="15" w:type="dxa"/>
          <w:bottom w:w="15" w:type="dxa"/>
          <w:right w:w="15" w:type="dxa"/>
        </w:tblCellMar>
      </w:tblPr>
      <w:tblGrid>
        <w:gridCol w:w="734"/>
        <w:gridCol w:w="2858"/>
        <w:gridCol w:w="870"/>
        <w:gridCol w:w="734"/>
        <w:gridCol w:w="2671"/>
        <w:gridCol w:w="1065"/>
        <w:gridCol w:w="734"/>
        <w:gridCol w:w="3659"/>
        <w:gridCol w:w="2220"/>
      </w:tblGrid>
      <w:tr>
        <w:tblPrEx>
          <w:tblLayout w:type="fixed"/>
          <w:tblCellMar>
            <w:top w:w="15" w:type="dxa"/>
            <w:left w:w="15" w:type="dxa"/>
            <w:bottom w:w="15" w:type="dxa"/>
            <w:right w:w="15" w:type="dxa"/>
          </w:tblCellMar>
        </w:tblPrEx>
        <w:trPr>
          <w:trHeight w:val="390" w:hRule="atLeast"/>
        </w:trPr>
        <w:tc>
          <w:tcPr>
            <w:tcW w:w="15545" w:type="dxa"/>
            <w:gridSpan w:val="9"/>
            <w:shd w:val="clear" w:color="auto" w:fill="auto"/>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一般公共预算财政拨款基本支出决算表</w:t>
            </w:r>
          </w:p>
        </w:tc>
      </w:tr>
      <w:tr>
        <w:tblPrEx>
          <w:tblLayout w:type="fixed"/>
          <w:tblCellMar>
            <w:top w:w="15" w:type="dxa"/>
            <w:left w:w="15" w:type="dxa"/>
            <w:bottom w:w="15" w:type="dxa"/>
            <w:right w:w="15" w:type="dxa"/>
          </w:tblCellMar>
        </w:tblPrEx>
        <w:trPr>
          <w:trHeight w:val="286" w:hRule="atLeast"/>
        </w:trPr>
        <w:tc>
          <w:tcPr>
            <w:tcW w:w="734" w:type="dxa"/>
            <w:shd w:val="clear" w:color="auto" w:fill="auto"/>
            <w:vAlign w:val="bottom"/>
          </w:tcPr>
          <w:p>
            <w:pPr>
              <w:rPr>
                <w:rFonts w:ascii="Arial" w:hAnsi="Arial" w:cs="Arial"/>
                <w:color w:val="000000"/>
                <w:sz w:val="20"/>
                <w:szCs w:val="20"/>
              </w:rPr>
            </w:pPr>
          </w:p>
        </w:tc>
        <w:tc>
          <w:tcPr>
            <w:tcW w:w="2858" w:type="dxa"/>
            <w:shd w:val="clear" w:color="auto" w:fill="auto"/>
            <w:vAlign w:val="bottom"/>
          </w:tcPr>
          <w:p>
            <w:pPr>
              <w:rPr>
                <w:rFonts w:ascii="Arial" w:hAnsi="Arial" w:cs="Arial"/>
                <w:color w:val="000000"/>
                <w:sz w:val="20"/>
                <w:szCs w:val="20"/>
              </w:rPr>
            </w:pPr>
          </w:p>
        </w:tc>
        <w:tc>
          <w:tcPr>
            <w:tcW w:w="870" w:type="dxa"/>
            <w:shd w:val="clear" w:color="auto" w:fill="auto"/>
            <w:vAlign w:val="bottom"/>
          </w:tcPr>
          <w:p>
            <w:pPr>
              <w:rPr>
                <w:rFonts w:ascii="Arial" w:hAnsi="Arial" w:cs="Arial"/>
                <w:color w:val="000000"/>
                <w:sz w:val="20"/>
                <w:szCs w:val="20"/>
              </w:rPr>
            </w:pPr>
          </w:p>
        </w:tc>
        <w:tc>
          <w:tcPr>
            <w:tcW w:w="734" w:type="dxa"/>
            <w:shd w:val="clear" w:color="auto" w:fill="auto"/>
            <w:vAlign w:val="bottom"/>
          </w:tcPr>
          <w:p>
            <w:pPr>
              <w:rPr>
                <w:rFonts w:ascii="Arial" w:hAnsi="Arial" w:cs="Arial"/>
                <w:color w:val="000000"/>
                <w:sz w:val="20"/>
                <w:szCs w:val="20"/>
              </w:rPr>
            </w:pPr>
          </w:p>
        </w:tc>
        <w:tc>
          <w:tcPr>
            <w:tcW w:w="2671" w:type="dxa"/>
            <w:shd w:val="clear" w:color="auto" w:fill="auto"/>
            <w:vAlign w:val="bottom"/>
          </w:tcPr>
          <w:p>
            <w:pPr>
              <w:rPr>
                <w:rFonts w:ascii="Arial" w:hAnsi="Arial" w:cs="Arial"/>
                <w:color w:val="000000"/>
                <w:sz w:val="20"/>
                <w:szCs w:val="20"/>
              </w:rPr>
            </w:pPr>
          </w:p>
        </w:tc>
        <w:tc>
          <w:tcPr>
            <w:tcW w:w="1065" w:type="dxa"/>
            <w:shd w:val="clear" w:color="auto" w:fill="auto"/>
            <w:vAlign w:val="bottom"/>
          </w:tcPr>
          <w:p>
            <w:pPr>
              <w:rPr>
                <w:rFonts w:ascii="Arial" w:hAnsi="Arial" w:cs="Arial"/>
                <w:color w:val="000000"/>
                <w:sz w:val="20"/>
                <w:szCs w:val="20"/>
              </w:rPr>
            </w:pPr>
          </w:p>
        </w:tc>
        <w:tc>
          <w:tcPr>
            <w:tcW w:w="734" w:type="dxa"/>
            <w:shd w:val="clear" w:color="auto" w:fill="auto"/>
            <w:vAlign w:val="bottom"/>
          </w:tcPr>
          <w:p>
            <w:pPr>
              <w:rPr>
                <w:rFonts w:ascii="Arial" w:hAnsi="Arial" w:cs="Arial"/>
                <w:color w:val="000000"/>
                <w:sz w:val="20"/>
                <w:szCs w:val="20"/>
              </w:rPr>
            </w:pPr>
          </w:p>
        </w:tc>
        <w:tc>
          <w:tcPr>
            <w:tcW w:w="3659" w:type="dxa"/>
            <w:shd w:val="clear" w:color="auto" w:fill="auto"/>
            <w:vAlign w:val="bottom"/>
          </w:tcPr>
          <w:p>
            <w:pPr>
              <w:rPr>
                <w:rFonts w:ascii="Arial" w:hAnsi="Arial" w:cs="Arial"/>
                <w:color w:val="000000"/>
                <w:sz w:val="20"/>
                <w:szCs w:val="20"/>
              </w:rPr>
            </w:pPr>
          </w:p>
        </w:tc>
        <w:tc>
          <w:tcPr>
            <w:tcW w:w="2220"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Layout w:type="fixed"/>
          <w:tblCellMar>
            <w:top w:w="15" w:type="dxa"/>
            <w:left w:w="15" w:type="dxa"/>
            <w:bottom w:w="15" w:type="dxa"/>
            <w:right w:w="15" w:type="dxa"/>
          </w:tblCellMar>
        </w:tblPrEx>
        <w:trPr>
          <w:trHeight w:val="286" w:hRule="atLeast"/>
        </w:trPr>
        <w:tc>
          <w:tcPr>
            <w:tcW w:w="5196" w:type="dxa"/>
            <w:gridSpan w:val="4"/>
            <w:shd w:val="clear" w:color="auto" w:fill="auto"/>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部门：南宫市段芦头镇人民政府（本级）</w:t>
            </w:r>
          </w:p>
        </w:tc>
        <w:tc>
          <w:tcPr>
            <w:tcW w:w="2671" w:type="dxa"/>
            <w:shd w:val="clear" w:color="auto" w:fill="auto"/>
            <w:vAlign w:val="bottom"/>
          </w:tcPr>
          <w:p>
            <w:pPr>
              <w:rPr>
                <w:rFonts w:ascii="Arial" w:hAnsi="Arial" w:cs="Arial"/>
                <w:color w:val="000000"/>
                <w:sz w:val="20"/>
                <w:szCs w:val="20"/>
              </w:rPr>
            </w:pPr>
          </w:p>
        </w:tc>
        <w:tc>
          <w:tcPr>
            <w:tcW w:w="1065" w:type="dxa"/>
            <w:shd w:val="clear" w:color="auto" w:fill="auto"/>
            <w:vAlign w:val="bottom"/>
          </w:tcPr>
          <w:p>
            <w:pPr>
              <w:rPr>
                <w:rFonts w:ascii="Arial" w:hAnsi="Arial" w:cs="Arial"/>
                <w:color w:val="000000"/>
                <w:sz w:val="20"/>
                <w:szCs w:val="20"/>
              </w:rPr>
            </w:pPr>
          </w:p>
        </w:tc>
        <w:tc>
          <w:tcPr>
            <w:tcW w:w="734" w:type="dxa"/>
            <w:shd w:val="clear" w:color="auto" w:fill="auto"/>
            <w:vAlign w:val="bottom"/>
          </w:tcPr>
          <w:p>
            <w:pPr>
              <w:rPr>
                <w:rFonts w:ascii="Arial" w:hAnsi="Arial" w:cs="Arial"/>
                <w:color w:val="000000"/>
                <w:sz w:val="20"/>
                <w:szCs w:val="20"/>
              </w:rPr>
            </w:pPr>
          </w:p>
        </w:tc>
        <w:tc>
          <w:tcPr>
            <w:tcW w:w="3659" w:type="dxa"/>
            <w:shd w:val="clear" w:color="auto" w:fill="auto"/>
            <w:vAlign w:val="bottom"/>
          </w:tcPr>
          <w:p>
            <w:pPr>
              <w:rPr>
                <w:rFonts w:ascii="Arial" w:hAnsi="Arial" w:cs="Arial"/>
                <w:color w:val="000000"/>
                <w:sz w:val="20"/>
                <w:szCs w:val="20"/>
              </w:rPr>
            </w:pPr>
          </w:p>
        </w:tc>
        <w:tc>
          <w:tcPr>
            <w:tcW w:w="2220"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15" w:type="dxa"/>
            <w:left w:w="15" w:type="dxa"/>
            <w:bottom w:w="15" w:type="dxa"/>
            <w:right w:w="15" w:type="dxa"/>
          </w:tblCellMar>
        </w:tblPrEx>
        <w:trPr>
          <w:trHeight w:val="301" w:hRule="atLeast"/>
        </w:trPr>
        <w:tc>
          <w:tcPr>
            <w:tcW w:w="4462"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人员经费</w:t>
            </w:r>
          </w:p>
        </w:tc>
        <w:tc>
          <w:tcPr>
            <w:tcW w:w="11083" w:type="dxa"/>
            <w:gridSpan w:val="6"/>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公用经费</w:t>
            </w:r>
          </w:p>
        </w:tc>
      </w:tr>
      <w:tr>
        <w:tblPrEx>
          <w:tblLayout w:type="fixed"/>
          <w:tblCellMar>
            <w:top w:w="15" w:type="dxa"/>
            <w:left w:w="15" w:type="dxa"/>
            <w:bottom w:w="15" w:type="dxa"/>
            <w:right w:w="15" w:type="dxa"/>
          </w:tblCellMar>
        </w:tblPrEx>
        <w:trPr>
          <w:trHeight w:val="316" w:hRule="atLeast"/>
        </w:trPr>
        <w:tc>
          <w:tcPr>
            <w:tcW w:w="734" w:type="dxa"/>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科目编码</w:t>
            </w:r>
          </w:p>
        </w:tc>
        <w:tc>
          <w:tcPr>
            <w:tcW w:w="2858"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87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w:t>
            </w:r>
          </w:p>
        </w:tc>
        <w:tc>
          <w:tcPr>
            <w:tcW w:w="734"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科目编码</w:t>
            </w:r>
          </w:p>
        </w:tc>
        <w:tc>
          <w:tcPr>
            <w:tcW w:w="2671"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06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w:t>
            </w:r>
          </w:p>
        </w:tc>
        <w:tc>
          <w:tcPr>
            <w:tcW w:w="734"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科目编码</w:t>
            </w:r>
          </w:p>
        </w:tc>
        <w:tc>
          <w:tcPr>
            <w:tcW w:w="3659"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222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w:t>
            </w:r>
          </w:p>
        </w:tc>
      </w:tr>
      <w:tr>
        <w:tblPrEx>
          <w:tblLayout w:type="fixed"/>
        </w:tblPrEx>
        <w:trPr>
          <w:trHeight w:val="316" w:hRule="atLeast"/>
        </w:trPr>
        <w:tc>
          <w:tcPr>
            <w:tcW w:w="734"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858"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87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734"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67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06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734"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3659"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22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工资福利支出</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424.83</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商品和服务支出</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282.56</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其他资本性支出</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30101</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基本工资</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284.67</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30201</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办公费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147.85</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31001</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房屋建筑物购建</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30102</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津贴补贴</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86.67</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30202</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印刷费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31002</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办公设备购置</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30103</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奖金</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7.88</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30203</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咨询费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5.30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31003</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专用设备购置</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30104</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其他社会保障缴费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8.22</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30204</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手续费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31005</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基础设施建设</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30106</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伙食补助费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30205</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水费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31006</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大型修缮</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30107</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绩效工资</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37.39</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30206</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电费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9.19</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31007</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信息网络及软件购置更新</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30108</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机关事业单位基本养老保险缴费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30207</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邮电费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2.83</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31008</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物资储备</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30109</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职业年金缴费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30208</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取暖费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21.40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31009</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土地补偿</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30199</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其他工资福利支出</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30209</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物业管理费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31010</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安置补助</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对个人和家庭的补助</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207.20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30211</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差旅费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12.24</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31011</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地上附着物和青苗补偿</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30301</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离休费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6.89</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30212</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因公出国（境）费用</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31012</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拆迁补偿</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30302</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退休费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97.57</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30213</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维修(护)费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14.50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31013</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公务用车购置</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30303</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退职（役）费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30214</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租赁费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31019</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其他交通工具购置</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30304</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抚恤金</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24.31</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30215</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会议费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31020</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产权参股</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30305</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生活补助</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42.53</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30216</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培训费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31099</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其他资本性支出</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30306</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救济费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30217</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公务接待费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5.22</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304</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对企事业单位的补贴</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30"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30307</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医疗费</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30218</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专用材料费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30401</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企业政策性补贴</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30308</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助学金</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30224</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被装购置费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30402</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事业单位补贴</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30309</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奖励金</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30225</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专用燃料费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30403</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财政贴息</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30310</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生产补贴</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30226</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劳务费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30499</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其他对企事业单位的补贴</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30311</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住房公积金</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30227</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委托业务费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307</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债务利息支出</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30312</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提租补贴</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30228</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工会经费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6.44</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30701</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国内债务付息</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30313</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购房补贴</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30229</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福利费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30707</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国外债务付息</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30314</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采暖补贴</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30231</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公务用车运行维护费</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4.89</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399</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其他支出</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30315</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物业服务补贴</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30239</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其他交通费用</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27.70</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39906</w:t>
            </w:r>
          </w:p>
        </w:tc>
        <w:tc>
          <w:tcPr>
            <w:tcW w:w="3659"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赠与</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30399</w:t>
            </w:r>
          </w:p>
        </w:tc>
        <w:tc>
          <w:tcPr>
            <w:tcW w:w="2858"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其他对个人和家庭的补助支出</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35.91</w:t>
            </w: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30240</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税金及附加费用</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3659"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222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734" w:type="dxa"/>
            <w:tcBorders>
              <w:left w:val="single" w:color="000000" w:sz="4" w:space="0"/>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2858"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87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734"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30299</w:t>
            </w:r>
          </w:p>
        </w:tc>
        <w:tc>
          <w:tcPr>
            <w:tcW w:w="2671" w:type="dxa"/>
            <w:tcBorders>
              <w:bottom w:val="single" w:color="000000" w:sz="4" w:space="0"/>
              <w:right w:val="single" w:color="000000" w:sz="4" w:space="0"/>
            </w:tcBorders>
            <w:shd w:val="clear" w:color="FFFFFF" w:fill="C0C0C0"/>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 xml:space="preserve">  其他商品和服务支出</w:t>
            </w:r>
          </w:p>
        </w:tc>
        <w:tc>
          <w:tcPr>
            <w:tcW w:w="106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734"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3659" w:type="dxa"/>
            <w:tcBorders>
              <w:bottom w:val="single" w:color="000000" w:sz="4" w:space="0"/>
              <w:right w:val="single" w:color="000000" w:sz="4" w:space="0"/>
            </w:tcBorders>
            <w:shd w:val="clear" w:color="FFFFFF" w:fill="C0C0C0"/>
            <w:vAlign w:val="center"/>
          </w:tcPr>
          <w:p>
            <w:pPr>
              <w:jc w:val="left"/>
              <w:rPr>
                <w:rFonts w:ascii="宋体" w:hAnsi="宋体" w:eastAsia="宋体" w:cs="宋体"/>
                <w:color w:val="000000"/>
                <w:sz w:val="22"/>
                <w:szCs w:val="22"/>
              </w:rPr>
            </w:pPr>
          </w:p>
        </w:tc>
        <w:tc>
          <w:tcPr>
            <w:tcW w:w="222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3592" w:type="dxa"/>
            <w:gridSpan w:val="2"/>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人员经费合计</w:t>
            </w:r>
          </w:p>
        </w:tc>
        <w:tc>
          <w:tcPr>
            <w:tcW w:w="87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632.03</w:t>
            </w:r>
          </w:p>
        </w:tc>
        <w:tc>
          <w:tcPr>
            <w:tcW w:w="8863" w:type="dxa"/>
            <w:gridSpan w:val="5"/>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公用经费合计</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282.56</w:t>
            </w:r>
          </w:p>
        </w:tc>
      </w:tr>
      <w:tr>
        <w:tblPrEx>
          <w:tblLayout w:type="fixed"/>
        </w:tblPrEx>
        <w:trPr>
          <w:trHeight w:val="301" w:hRule="atLeast"/>
        </w:trPr>
        <w:tc>
          <w:tcPr>
            <w:tcW w:w="15545" w:type="dxa"/>
            <w:gridSpan w:val="9"/>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注：本表反映部门本年度一般公共预算财政拨款基本支出情况。本部门本年度无一般公共预算财政拨款基本支出，按要求以空表列示。</w:t>
            </w:r>
          </w:p>
        </w:tc>
      </w:tr>
    </w:tbl>
    <w:p>
      <w:pPr>
        <w:widowControl/>
        <w:jc w:val="center"/>
        <w:rPr>
          <w:rFonts w:ascii="仿宋" w:hAnsi="仿宋" w:eastAsia="仿宋" w:cstheme="majorEastAsia"/>
          <w:b/>
          <w:bCs/>
          <w:color w:val="000000"/>
          <w:sz w:val="32"/>
          <w:szCs w:val="32"/>
          <w:shd w:val="clear" w:color="auto" w:fill="FFFFFF"/>
        </w:rPr>
      </w:pPr>
    </w:p>
    <w:p>
      <w:pPr>
        <w:widowControl/>
        <w:jc w:val="center"/>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837" w:type="dxa"/>
        <w:tblInd w:w="0" w:type="dxa"/>
        <w:tblLayout w:type="fixed"/>
        <w:tblCellMar>
          <w:top w:w="15" w:type="dxa"/>
          <w:left w:w="15" w:type="dxa"/>
          <w:bottom w:w="15" w:type="dxa"/>
          <w:right w:w="15" w:type="dxa"/>
        </w:tblCellMar>
      </w:tblPr>
      <w:tblGrid>
        <w:gridCol w:w="432"/>
        <w:gridCol w:w="951"/>
        <w:gridCol w:w="951"/>
        <w:gridCol w:w="1138"/>
        <w:gridCol w:w="910"/>
        <w:gridCol w:w="955"/>
        <w:gridCol w:w="955"/>
        <w:gridCol w:w="955"/>
        <w:gridCol w:w="955"/>
        <w:gridCol w:w="956"/>
        <w:gridCol w:w="955"/>
        <w:gridCol w:w="955"/>
        <w:gridCol w:w="956"/>
        <w:gridCol w:w="955"/>
        <w:gridCol w:w="955"/>
        <w:gridCol w:w="955"/>
        <w:gridCol w:w="948"/>
      </w:tblGrid>
      <w:tr>
        <w:tblPrEx>
          <w:tblLayout w:type="fixed"/>
          <w:tblCellMar>
            <w:top w:w="15" w:type="dxa"/>
            <w:left w:w="15" w:type="dxa"/>
            <w:bottom w:w="15" w:type="dxa"/>
            <w:right w:w="15" w:type="dxa"/>
          </w:tblCellMar>
        </w:tblPrEx>
        <w:trPr>
          <w:trHeight w:val="390" w:hRule="atLeast"/>
        </w:trPr>
        <w:tc>
          <w:tcPr>
            <w:tcW w:w="15837" w:type="dxa"/>
            <w:gridSpan w:val="17"/>
            <w:shd w:val="clear" w:color="auto" w:fill="auto"/>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政府性基金预算财政拨款收入支出决算表</w:t>
            </w:r>
          </w:p>
        </w:tc>
      </w:tr>
      <w:tr>
        <w:tblPrEx>
          <w:tblLayout w:type="fixed"/>
          <w:tblCellMar>
            <w:top w:w="15" w:type="dxa"/>
            <w:left w:w="15" w:type="dxa"/>
            <w:bottom w:w="15" w:type="dxa"/>
            <w:right w:w="15" w:type="dxa"/>
          </w:tblCellMar>
        </w:tblPrEx>
        <w:trPr>
          <w:trHeight w:val="286" w:hRule="atLeast"/>
        </w:trPr>
        <w:tc>
          <w:tcPr>
            <w:tcW w:w="432" w:type="dxa"/>
            <w:shd w:val="clear" w:color="auto" w:fill="auto"/>
            <w:vAlign w:val="bottom"/>
          </w:tcPr>
          <w:p>
            <w:pPr>
              <w:rPr>
                <w:rFonts w:ascii="Arial" w:hAnsi="Arial" w:cs="Arial"/>
                <w:color w:val="000000"/>
                <w:sz w:val="20"/>
                <w:szCs w:val="20"/>
              </w:rPr>
            </w:pPr>
          </w:p>
        </w:tc>
        <w:tc>
          <w:tcPr>
            <w:tcW w:w="951" w:type="dxa"/>
            <w:shd w:val="clear" w:color="auto" w:fill="auto"/>
            <w:vAlign w:val="bottom"/>
          </w:tcPr>
          <w:p>
            <w:pPr>
              <w:rPr>
                <w:rFonts w:ascii="Arial" w:hAnsi="Arial" w:cs="Arial"/>
                <w:color w:val="000000"/>
                <w:sz w:val="20"/>
                <w:szCs w:val="20"/>
              </w:rPr>
            </w:pPr>
          </w:p>
        </w:tc>
        <w:tc>
          <w:tcPr>
            <w:tcW w:w="951" w:type="dxa"/>
            <w:shd w:val="clear" w:color="auto" w:fill="auto"/>
            <w:vAlign w:val="bottom"/>
          </w:tcPr>
          <w:p>
            <w:pPr>
              <w:rPr>
                <w:rFonts w:ascii="Arial" w:hAnsi="Arial" w:cs="Arial"/>
                <w:color w:val="000000"/>
                <w:sz w:val="20"/>
                <w:szCs w:val="20"/>
              </w:rPr>
            </w:pPr>
          </w:p>
        </w:tc>
        <w:tc>
          <w:tcPr>
            <w:tcW w:w="1138" w:type="dxa"/>
            <w:shd w:val="clear" w:color="auto" w:fill="auto"/>
            <w:vAlign w:val="bottom"/>
          </w:tcPr>
          <w:p>
            <w:pPr>
              <w:rPr>
                <w:rFonts w:ascii="Arial" w:hAnsi="Arial" w:cs="Arial"/>
                <w:color w:val="000000"/>
                <w:sz w:val="20"/>
                <w:szCs w:val="20"/>
              </w:rPr>
            </w:pPr>
          </w:p>
        </w:tc>
        <w:tc>
          <w:tcPr>
            <w:tcW w:w="910"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6"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6"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48"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15" w:type="dxa"/>
            <w:left w:w="15" w:type="dxa"/>
            <w:bottom w:w="15" w:type="dxa"/>
            <w:right w:w="15" w:type="dxa"/>
          </w:tblCellMar>
        </w:tblPrEx>
        <w:trPr>
          <w:trHeight w:val="286" w:hRule="atLeast"/>
        </w:trPr>
        <w:tc>
          <w:tcPr>
            <w:tcW w:w="5337" w:type="dxa"/>
            <w:gridSpan w:val="6"/>
            <w:shd w:val="clear" w:color="auto" w:fill="auto"/>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部门：南宫市段芦头镇人民政府（本级）</w:t>
            </w: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6"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6"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955" w:type="dxa"/>
            <w:shd w:val="clear" w:color="auto" w:fill="auto"/>
            <w:vAlign w:val="bottom"/>
          </w:tcPr>
          <w:p>
            <w:pPr>
              <w:rPr>
                <w:rFonts w:ascii="Arial" w:hAnsi="Arial" w:cs="Arial"/>
                <w:color w:val="000000"/>
                <w:sz w:val="20"/>
                <w:szCs w:val="20"/>
              </w:rPr>
            </w:pPr>
          </w:p>
        </w:tc>
        <w:tc>
          <w:tcPr>
            <w:tcW w:w="1903" w:type="dxa"/>
            <w:gridSpan w:val="2"/>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15" w:type="dxa"/>
            <w:left w:w="15" w:type="dxa"/>
            <w:bottom w:w="15" w:type="dxa"/>
            <w:right w:w="15" w:type="dxa"/>
          </w:tblCellMar>
        </w:tblPrEx>
        <w:trPr>
          <w:trHeight w:val="301" w:hRule="atLeast"/>
        </w:trPr>
        <w:tc>
          <w:tcPr>
            <w:tcW w:w="2334"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科目编码</w:t>
            </w:r>
          </w:p>
        </w:tc>
        <w:tc>
          <w:tcPr>
            <w:tcW w:w="1138"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2820" w:type="dxa"/>
            <w:gridSpan w:val="3"/>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年初结转和结余</w:t>
            </w:r>
          </w:p>
        </w:tc>
        <w:tc>
          <w:tcPr>
            <w:tcW w:w="2866" w:type="dxa"/>
            <w:gridSpan w:val="3"/>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本年收入</w:t>
            </w:r>
          </w:p>
        </w:tc>
        <w:tc>
          <w:tcPr>
            <w:tcW w:w="2866" w:type="dxa"/>
            <w:gridSpan w:val="3"/>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w:t>
            </w:r>
          </w:p>
        </w:tc>
        <w:tc>
          <w:tcPr>
            <w:tcW w:w="3813" w:type="dxa"/>
            <w:gridSpan w:val="4"/>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年末结转和结余</w:t>
            </w:r>
          </w:p>
        </w:tc>
      </w:tr>
      <w:tr>
        <w:tblPrEx>
          <w:tblLayout w:type="fixed"/>
          <w:tblCellMar>
            <w:top w:w="15" w:type="dxa"/>
            <w:left w:w="15" w:type="dxa"/>
            <w:bottom w:w="15" w:type="dxa"/>
            <w:right w:w="15" w:type="dxa"/>
          </w:tblCellMar>
        </w:tblPrEx>
        <w:trPr>
          <w:trHeight w:val="301" w:hRule="atLeast"/>
        </w:trPr>
        <w:tc>
          <w:tcPr>
            <w:tcW w:w="233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13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1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基本支出结转</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项目支出结转和结余</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956"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956"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基本支出结转</w:t>
            </w:r>
          </w:p>
        </w:tc>
        <w:tc>
          <w:tcPr>
            <w:tcW w:w="1903" w:type="dxa"/>
            <w:gridSpan w:val="2"/>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项目支出结转和结余</w:t>
            </w:r>
          </w:p>
        </w:tc>
      </w:tr>
      <w:tr>
        <w:tblPrEx>
          <w:tblLayout w:type="fixed"/>
        </w:tblPrEx>
        <w:trPr>
          <w:trHeight w:val="316" w:hRule="atLeast"/>
        </w:trPr>
        <w:tc>
          <w:tcPr>
            <w:tcW w:w="233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13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1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项目支出结转</w:t>
            </w:r>
          </w:p>
        </w:tc>
        <w:tc>
          <w:tcPr>
            <w:tcW w:w="948"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项目支出结余</w:t>
            </w:r>
          </w:p>
        </w:tc>
      </w:tr>
      <w:tr>
        <w:tblPrEx>
          <w:tblLayout w:type="fixed"/>
          <w:tblCellMar>
            <w:top w:w="15" w:type="dxa"/>
            <w:left w:w="15" w:type="dxa"/>
            <w:bottom w:w="15" w:type="dxa"/>
            <w:right w:w="15" w:type="dxa"/>
          </w:tblCellMar>
        </w:tblPrEx>
        <w:trPr>
          <w:trHeight w:val="615" w:hRule="atLeast"/>
        </w:trPr>
        <w:tc>
          <w:tcPr>
            <w:tcW w:w="233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13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1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48"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432" w:type="dxa"/>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类</w:t>
            </w:r>
          </w:p>
        </w:tc>
        <w:tc>
          <w:tcPr>
            <w:tcW w:w="951"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款</w:t>
            </w:r>
          </w:p>
        </w:tc>
        <w:tc>
          <w:tcPr>
            <w:tcW w:w="951"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w:t>
            </w:r>
          </w:p>
        </w:tc>
        <w:tc>
          <w:tcPr>
            <w:tcW w:w="1138"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9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95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956"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95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948"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r>
      <w:tr>
        <w:tblPrEx>
          <w:tblLayout w:type="fixed"/>
          <w:tblCellMar>
            <w:top w:w="15" w:type="dxa"/>
            <w:left w:w="15" w:type="dxa"/>
            <w:bottom w:w="15" w:type="dxa"/>
            <w:right w:w="15" w:type="dxa"/>
          </w:tblCellMar>
        </w:tblPrEx>
        <w:trPr>
          <w:trHeight w:val="301" w:hRule="atLeast"/>
        </w:trPr>
        <w:tc>
          <w:tcPr>
            <w:tcW w:w="43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5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138"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9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6"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5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c>
          <w:tcPr>
            <w:tcW w:w="948"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334"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138"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91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48"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334"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138"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91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48"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PrEx>
        <w:trPr>
          <w:trHeight w:val="301" w:hRule="atLeast"/>
        </w:trPr>
        <w:tc>
          <w:tcPr>
            <w:tcW w:w="2334"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138"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91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48"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334"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138"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91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48"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334"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138"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91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48"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334"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138"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91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6"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5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48"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15837" w:type="dxa"/>
            <w:gridSpan w:val="17"/>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注：本表反映部门本年度政府性基金预算财政拨款收入支出及结转和结余情况。本部门本年度无收支及结转结余情况，按要求以空表列示。</w:t>
            </w:r>
          </w:p>
        </w:tc>
      </w:tr>
    </w:tbl>
    <w:p>
      <w:pPr>
        <w:widowControl/>
        <w:jc w:val="center"/>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277" w:type="dxa"/>
        <w:tblInd w:w="0" w:type="dxa"/>
        <w:tblLayout w:type="fixed"/>
        <w:tblCellMar>
          <w:top w:w="15" w:type="dxa"/>
          <w:left w:w="15" w:type="dxa"/>
          <w:bottom w:w="15" w:type="dxa"/>
          <w:right w:w="15" w:type="dxa"/>
        </w:tblCellMar>
      </w:tblPr>
      <w:tblGrid>
        <w:gridCol w:w="555"/>
        <w:gridCol w:w="957"/>
        <w:gridCol w:w="957"/>
        <w:gridCol w:w="2986"/>
        <w:gridCol w:w="1801"/>
        <w:gridCol w:w="960"/>
        <w:gridCol w:w="960"/>
        <w:gridCol w:w="1815"/>
        <w:gridCol w:w="1801"/>
        <w:gridCol w:w="2485"/>
      </w:tblGrid>
      <w:tr>
        <w:tblPrEx>
          <w:tblLayout w:type="fixed"/>
          <w:tblCellMar>
            <w:top w:w="15" w:type="dxa"/>
            <w:left w:w="15" w:type="dxa"/>
            <w:bottom w:w="15" w:type="dxa"/>
            <w:right w:w="15" w:type="dxa"/>
          </w:tblCellMar>
        </w:tblPrEx>
        <w:trPr>
          <w:trHeight w:val="390" w:hRule="atLeast"/>
        </w:trPr>
        <w:tc>
          <w:tcPr>
            <w:tcW w:w="15277" w:type="dxa"/>
            <w:gridSpan w:val="10"/>
            <w:shd w:val="clear" w:color="auto" w:fill="auto"/>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国有资本经营预算财政拨款收入支出决算表</w:t>
            </w:r>
          </w:p>
        </w:tc>
      </w:tr>
      <w:tr>
        <w:tblPrEx>
          <w:tblLayout w:type="fixed"/>
          <w:tblCellMar>
            <w:top w:w="15" w:type="dxa"/>
            <w:left w:w="15" w:type="dxa"/>
            <w:bottom w:w="15" w:type="dxa"/>
            <w:right w:w="15" w:type="dxa"/>
          </w:tblCellMar>
        </w:tblPrEx>
        <w:trPr>
          <w:trHeight w:val="286" w:hRule="atLeast"/>
        </w:trPr>
        <w:tc>
          <w:tcPr>
            <w:tcW w:w="555" w:type="dxa"/>
            <w:shd w:val="clear" w:color="auto" w:fill="auto"/>
            <w:vAlign w:val="bottom"/>
          </w:tcPr>
          <w:p>
            <w:pPr>
              <w:rPr>
                <w:rFonts w:ascii="Arial" w:hAnsi="Arial" w:cs="Arial"/>
                <w:color w:val="000000"/>
                <w:sz w:val="20"/>
                <w:szCs w:val="20"/>
              </w:rPr>
            </w:pPr>
          </w:p>
        </w:tc>
        <w:tc>
          <w:tcPr>
            <w:tcW w:w="957" w:type="dxa"/>
            <w:shd w:val="clear" w:color="auto" w:fill="auto"/>
            <w:vAlign w:val="bottom"/>
          </w:tcPr>
          <w:p>
            <w:pPr>
              <w:rPr>
                <w:rFonts w:ascii="Arial" w:hAnsi="Arial" w:cs="Arial"/>
                <w:color w:val="000000"/>
                <w:sz w:val="20"/>
                <w:szCs w:val="20"/>
              </w:rPr>
            </w:pPr>
          </w:p>
        </w:tc>
        <w:tc>
          <w:tcPr>
            <w:tcW w:w="957" w:type="dxa"/>
            <w:shd w:val="clear" w:color="auto" w:fill="auto"/>
            <w:vAlign w:val="bottom"/>
          </w:tcPr>
          <w:p>
            <w:pPr>
              <w:rPr>
                <w:rFonts w:ascii="Arial" w:hAnsi="Arial" w:cs="Arial"/>
                <w:color w:val="000000"/>
                <w:sz w:val="20"/>
                <w:szCs w:val="20"/>
              </w:rPr>
            </w:pPr>
          </w:p>
        </w:tc>
        <w:tc>
          <w:tcPr>
            <w:tcW w:w="2986" w:type="dxa"/>
            <w:shd w:val="clear" w:color="auto" w:fill="auto"/>
            <w:vAlign w:val="bottom"/>
          </w:tcPr>
          <w:p>
            <w:pPr>
              <w:rPr>
                <w:rFonts w:ascii="Arial" w:hAnsi="Arial" w:cs="Arial"/>
                <w:color w:val="000000"/>
                <w:sz w:val="20"/>
                <w:szCs w:val="20"/>
              </w:rPr>
            </w:pPr>
          </w:p>
        </w:tc>
        <w:tc>
          <w:tcPr>
            <w:tcW w:w="1801" w:type="dxa"/>
            <w:shd w:val="clear" w:color="auto" w:fill="auto"/>
            <w:vAlign w:val="bottom"/>
          </w:tcPr>
          <w:p>
            <w:pPr>
              <w:rPr>
                <w:rFonts w:ascii="Arial" w:hAnsi="Arial" w:cs="Arial"/>
                <w:color w:val="000000"/>
                <w:sz w:val="20"/>
                <w:szCs w:val="20"/>
              </w:rPr>
            </w:pPr>
          </w:p>
        </w:tc>
        <w:tc>
          <w:tcPr>
            <w:tcW w:w="960" w:type="dxa"/>
            <w:shd w:val="clear" w:color="auto" w:fill="auto"/>
            <w:vAlign w:val="bottom"/>
          </w:tcPr>
          <w:p>
            <w:pPr>
              <w:rPr>
                <w:rFonts w:ascii="Arial" w:hAnsi="Arial" w:cs="Arial"/>
                <w:color w:val="000000"/>
                <w:sz w:val="20"/>
                <w:szCs w:val="20"/>
              </w:rPr>
            </w:pPr>
          </w:p>
        </w:tc>
        <w:tc>
          <w:tcPr>
            <w:tcW w:w="960" w:type="dxa"/>
            <w:shd w:val="clear" w:color="auto" w:fill="auto"/>
            <w:vAlign w:val="bottom"/>
          </w:tcPr>
          <w:p>
            <w:pPr>
              <w:rPr>
                <w:rFonts w:ascii="Arial" w:hAnsi="Arial" w:cs="Arial"/>
                <w:color w:val="000000"/>
                <w:sz w:val="20"/>
                <w:szCs w:val="20"/>
              </w:rPr>
            </w:pPr>
          </w:p>
        </w:tc>
        <w:tc>
          <w:tcPr>
            <w:tcW w:w="1815" w:type="dxa"/>
            <w:shd w:val="clear" w:color="auto" w:fill="auto"/>
            <w:vAlign w:val="bottom"/>
          </w:tcPr>
          <w:p>
            <w:pPr>
              <w:rPr>
                <w:rFonts w:ascii="Arial" w:hAnsi="Arial" w:cs="Arial"/>
                <w:color w:val="000000"/>
                <w:sz w:val="20"/>
                <w:szCs w:val="20"/>
              </w:rPr>
            </w:pPr>
          </w:p>
        </w:tc>
        <w:tc>
          <w:tcPr>
            <w:tcW w:w="1801" w:type="dxa"/>
            <w:shd w:val="clear" w:color="auto" w:fill="auto"/>
            <w:vAlign w:val="bottom"/>
          </w:tcPr>
          <w:p>
            <w:pPr>
              <w:rPr>
                <w:rFonts w:ascii="Arial" w:hAnsi="Arial" w:cs="Arial"/>
                <w:color w:val="000000"/>
                <w:sz w:val="20"/>
                <w:szCs w:val="20"/>
              </w:rPr>
            </w:pPr>
          </w:p>
        </w:tc>
        <w:tc>
          <w:tcPr>
            <w:tcW w:w="2485"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15" w:type="dxa"/>
            <w:left w:w="15" w:type="dxa"/>
            <w:bottom w:w="15" w:type="dxa"/>
            <w:right w:w="15" w:type="dxa"/>
          </w:tblCellMar>
        </w:tblPrEx>
        <w:trPr>
          <w:trHeight w:val="286" w:hRule="atLeast"/>
        </w:trPr>
        <w:tc>
          <w:tcPr>
            <w:tcW w:w="5455" w:type="dxa"/>
            <w:gridSpan w:val="4"/>
            <w:shd w:val="clear" w:color="auto" w:fill="auto"/>
            <w:vAlign w:val="bottom"/>
          </w:tcPr>
          <w:p>
            <w:pPr>
              <w:rPr>
                <w:rFonts w:ascii="Arial" w:hAnsi="Arial" w:cs="Arial"/>
                <w:color w:val="000000"/>
                <w:sz w:val="20"/>
                <w:szCs w:val="20"/>
              </w:rPr>
            </w:pPr>
            <w:r>
              <w:rPr>
                <w:rFonts w:hint="eastAsia" w:ascii="宋体" w:hAnsi="宋体" w:eastAsia="宋体" w:cs="宋体"/>
                <w:color w:val="000000"/>
                <w:kern w:val="0"/>
                <w:sz w:val="20"/>
                <w:szCs w:val="20"/>
              </w:rPr>
              <w:t>编制单位：南宫市段芦头镇人民政府（本级）</w:t>
            </w:r>
          </w:p>
        </w:tc>
        <w:tc>
          <w:tcPr>
            <w:tcW w:w="1801" w:type="dxa"/>
            <w:shd w:val="clear" w:color="auto" w:fill="auto"/>
            <w:vAlign w:val="bottom"/>
          </w:tcPr>
          <w:p>
            <w:pPr>
              <w:rPr>
                <w:rFonts w:ascii="Arial" w:hAnsi="Arial" w:cs="Arial"/>
                <w:color w:val="000000"/>
                <w:sz w:val="20"/>
                <w:szCs w:val="20"/>
              </w:rPr>
            </w:pPr>
          </w:p>
        </w:tc>
        <w:tc>
          <w:tcPr>
            <w:tcW w:w="960" w:type="dxa"/>
            <w:shd w:val="clear" w:color="auto" w:fill="auto"/>
            <w:vAlign w:val="bottom"/>
          </w:tcPr>
          <w:p>
            <w:pPr>
              <w:jc w:val="center"/>
              <w:rPr>
                <w:rFonts w:ascii="宋体" w:hAnsi="宋体" w:eastAsia="宋体" w:cs="宋体"/>
                <w:color w:val="000000"/>
                <w:sz w:val="20"/>
                <w:szCs w:val="20"/>
              </w:rPr>
            </w:pPr>
          </w:p>
        </w:tc>
        <w:tc>
          <w:tcPr>
            <w:tcW w:w="960" w:type="dxa"/>
            <w:shd w:val="clear" w:color="auto" w:fill="auto"/>
            <w:vAlign w:val="bottom"/>
          </w:tcPr>
          <w:p>
            <w:pPr>
              <w:rPr>
                <w:rFonts w:ascii="Arial" w:hAnsi="Arial" w:cs="Arial"/>
                <w:color w:val="000000"/>
                <w:sz w:val="20"/>
                <w:szCs w:val="20"/>
              </w:rPr>
            </w:pPr>
          </w:p>
        </w:tc>
        <w:tc>
          <w:tcPr>
            <w:tcW w:w="1815" w:type="dxa"/>
            <w:shd w:val="clear" w:color="auto" w:fill="auto"/>
            <w:vAlign w:val="bottom"/>
          </w:tcPr>
          <w:p>
            <w:pPr>
              <w:rPr>
                <w:rFonts w:ascii="Arial" w:hAnsi="Arial" w:cs="Arial"/>
                <w:color w:val="000000"/>
                <w:sz w:val="20"/>
                <w:szCs w:val="20"/>
              </w:rPr>
            </w:pPr>
          </w:p>
        </w:tc>
        <w:tc>
          <w:tcPr>
            <w:tcW w:w="4286" w:type="dxa"/>
            <w:gridSpan w:val="2"/>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15" w:type="dxa"/>
            <w:left w:w="15" w:type="dxa"/>
            <w:bottom w:w="15" w:type="dxa"/>
            <w:right w:w="15" w:type="dxa"/>
          </w:tblCellMar>
        </w:tblPrEx>
        <w:trPr>
          <w:trHeight w:val="316" w:hRule="atLeast"/>
        </w:trPr>
        <w:tc>
          <w:tcPr>
            <w:tcW w:w="5455" w:type="dxa"/>
            <w:gridSpan w:val="4"/>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w:t>
            </w:r>
          </w:p>
        </w:tc>
        <w:tc>
          <w:tcPr>
            <w:tcW w:w="1801"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年初结转和结余</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本年收入</w:t>
            </w:r>
          </w:p>
        </w:tc>
        <w:tc>
          <w:tcPr>
            <w:tcW w:w="4576" w:type="dxa"/>
            <w:gridSpan w:val="3"/>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w:t>
            </w:r>
          </w:p>
        </w:tc>
        <w:tc>
          <w:tcPr>
            <w:tcW w:w="2485" w:type="dxa"/>
            <w:vMerge w:val="restart"/>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年末结转和结余</w:t>
            </w:r>
          </w:p>
        </w:tc>
      </w:tr>
      <w:tr>
        <w:tblPrEx>
          <w:tblLayout w:type="fixed"/>
          <w:tblCellMar>
            <w:top w:w="15" w:type="dxa"/>
            <w:left w:w="15" w:type="dxa"/>
            <w:bottom w:w="15" w:type="dxa"/>
            <w:right w:w="15" w:type="dxa"/>
          </w:tblCellMar>
        </w:tblPrEx>
        <w:trPr>
          <w:trHeight w:val="316" w:hRule="atLeast"/>
        </w:trPr>
        <w:tc>
          <w:tcPr>
            <w:tcW w:w="5455" w:type="dxa"/>
            <w:gridSpan w:val="4"/>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4576"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48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PrEx>
        <w:trPr>
          <w:trHeight w:val="316" w:hRule="atLeast"/>
        </w:trPr>
        <w:tc>
          <w:tcPr>
            <w:tcW w:w="2469" w:type="dxa"/>
            <w:gridSpan w:val="3"/>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2986"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小计</w:t>
            </w:r>
          </w:p>
        </w:tc>
        <w:tc>
          <w:tcPr>
            <w:tcW w:w="181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801"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248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16" w:hRule="atLeast"/>
        </w:trPr>
        <w:tc>
          <w:tcPr>
            <w:tcW w:w="2469"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986"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801"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96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81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1801"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48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5455" w:type="dxa"/>
            <w:gridSpan w:val="4"/>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1801"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6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96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81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801"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248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r>
      <w:tr>
        <w:tblPrEx>
          <w:tblLayout w:type="fixed"/>
          <w:tblCellMar>
            <w:top w:w="15" w:type="dxa"/>
            <w:left w:w="15" w:type="dxa"/>
            <w:bottom w:w="15" w:type="dxa"/>
            <w:right w:w="15" w:type="dxa"/>
          </w:tblCellMar>
        </w:tblPrEx>
        <w:trPr>
          <w:trHeight w:val="301" w:hRule="atLeast"/>
        </w:trPr>
        <w:tc>
          <w:tcPr>
            <w:tcW w:w="5455" w:type="dxa"/>
            <w:gridSpan w:val="4"/>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96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81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1801"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8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2469"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986"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1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69"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986"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1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PrEx>
        <w:trPr>
          <w:trHeight w:val="301" w:hRule="atLeast"/>
        </w:trPr>
        <w:tc>
          <w:tcPr>
            <w:tcW w:w="2469"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986"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1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69"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986"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1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69"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986"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1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2469" w:type="dxa"/>
            <w:gridSpan w:val="3"/>
            <w:tcBorders>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2986" w:type="dxa"/>
            <w:tcBorders>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960"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1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1801"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c>
          <w:tcPr>
            <w:tcW w:w="2485" w:type="dxa"/>
            <w:tcBorders>
              <w:bottom w:val="single" w:color="000000" w:sz="4" w:space="0"/>
              <w:right w:val="single" w:color="000000" w:sz="4" w:space="0"/>
            </w:tcBorders>
            <w:shd w:val="clear" w:color="auto" w:fill="auto"/>
            <w:vAlign w:val="center"/>
          </w:tcPr>
          <w:p>
            <w:pPr>
              <w:jc w:val="right"/>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15277" w:type="dxa"/>
            <w:gridSpan w:val="10"/>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注：本表反映部门本年度国有资本经营预算财政拨款支出情况。本部门本年度无相关支出情况，按要求以空表列示。</w:t>
            </w:r>
          </w:p>
        </w:tc>
      </w:tr>
    </w:tbl>
    <w:p>
      <w:pPr>
        <w:widowControl/>
        <w:jc w:val="center"/>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r>
        <w:rPr>
          <w:rFonts w:ascii="仿宋" w:hAnsi="仿宋" w:eastAsia="仿宋" w:cstheme="majorEastAsia"/>
          <w:b/>
          <w:bCs/>
          <w:color w:val="000000"/>
          <w:sz w:val="32"/>
          <w:szCs w:val="32"/>
          <w:shd w:val="clear" w:color="auto" w:fill="FFFFFF"/>
        </w:rPr>
        <w:br w:type="page"/>
      </w:r>
    </w:p>
    <w:tbl>
      <w:tblPr>
        <w:tblStyle w:val="8"/>
        <w:tblW w:w="15823" w:type="dxa"/>
        <w:tblInd w:w="108" w:type="dxa"/>
        <w:tblLayout w:type="fixed"/>
        <w:tblCellMar>
          <w:top w:w="0" w:type="dxa"/>
          <w:left w:w="108" w:type="dxa"/>
          <w:bottom w:w="0" w:type="dxa"/>
          <w:right w:w="108" w:type="dxa"/>
        </w:tblCellMar>
      </w:tblPr>
      <w:tblGrid>
        <w:gridCol w:w="4536"/>
        <w:gridCol w:w="651"/>
        <w:gridCol w:w="955"/>
        <w:gridCol w:w="1010"/>
        <w:gridCol w:w="6031"/>
        <w:gridCol w:w="651"/>
        <w:gridCol w:w="1983"/>
        <w:gridCol w:w="6"/>
      </w:tblGrid>
      <w:tr>
        <w:tblPrEx>
          <w:tblLayout w:type="fixed"/>
          <w:tblCellMar>
            <w:top w:w="0" w:type="dxa"/>
            <w:left w:w="108" w:type="dxa"/>
            <w:bottom w:w="0" w:type="dxa"/>
            <w:right w:w="108" w:type="dxa"/>
          </w:tblCellMar>
        </w:tblPrEx>
        <w:trPr>
          <w:trHeight w:val="384" w:hRule="atLeast"/>
        </w:trPr>
        <w:tc>
          <w:tcPr>
            <w:tcW w:w="15823" w:type="dxa"/>
            <w:gridSpan w:val="8"/>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"三公"经费及相关信息统计表</w:t>
            </w:r>
          </w:p>
        </w:tc>
      </w:tr>
      <w:tr>
        <w:tblPrEx>
          <w:tblLayout w:type="fixed"/>
          <w:tblCellMar>
            <w:top w:w="0" w:type="dxa"/>
            <w:left w:w="108" w:type="dxa"/>
            <w:bottom w:w="0" w:type="dxa"/>
            <w:right w:w="108" w:type="dxa"/>
          </w:tblCellMar>
        </w:tblPrEx>
        <w:trPr>
          <w:gridAfter w:val="1"/>
          <w:wAfter w:w="6" w:type="dxa"/>
          <w:trHeight w:val="302" w:hRule="atLeast"/>
        </w:trPr>
        <w:tc>
          <w:tcPr>
            <w:tcW w:w="4536"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30"/>
                <w:szCs w:val="3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01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0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公开09表</w:t>
            </w:r>
          </w:p>
        </w:tc>
      </w:tr>
      <w:tr>
        <w:tblPrEx>
          <w:tblLayout w:type="fixed"/>
          <w:tblCellMar>
            <w:top w:w="0" w:type="dxa"/>
            <w:left w:w="108" w:type="dxa"/>
            <w:bottom w:w="0" w:type="dxa"/>
            <w:right w:w="108" w:type="dxa"/>
          </w:tblCellMar>
        </w:tblPrEx>
        <w:trPr>
          <w:gridAfter w:val="1"/>
          <w:wAfter w:w="6" w:type="dxa"/>
          <w:trHeight w:val="264" w:hRule="atLeast"/>
        </w:trPr>
        <w:tc>
          <w:tcPr>
            <w:tcW w:w="45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编制单位：南宫市段芦头镇人民政府（本级）</w:t>
            </w:r>
          </w:p>
        </w:tc>
        <w:tc>
          <w:tcPr>
            <w:tcW w:w="651"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01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031" w:type="dxa"/>
            <w:tcBorders>
              <w:top w:val="nil"/>
              <w:left w:val="nil"/>
              <w:bottom w:val="nil"/>
              <w:right w:val="nil"/>
            </w:tcBorders>
            <w:shd w:val="clear" w:color="auto" w:fill="auto"/>
            <w:vAlign w:val="bottom"/>
          </w:tcPr>
          <w:p>
            <w:pPr>
              <w:widowControl/>
              <w:jc w:val="center"/>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65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955"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预算数</w:t>
            </w:r>
          </w:p>
        </w:tc>
        <w:tc>
          <w:tcPr>
            <w:tcW w:w="1010"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统计数</w:t>
            </w:r>
          </w:p>
        </w:tc>
        <w:tc>
          <w:tcPr>
            <w:tcW w:w="6031"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65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行次</w:t>
            </w:r>
          </w:p>
        </w:tc>
        <w:tc>
          <w:tcPr>
            <w:tcW w:w="1983" w:type="dxa"/>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统计数</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  次</w:t>
            </w:r>
          </w:p>
        </w:tc>
        <w:tc>
          <w:tcPr>
            <w:tcW w:w="6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95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01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603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  次</w:t>
            </w:r>
          </w:p>
        </w:tc>
        <w:tc>
          <w:tcPr>
            <w:tcW w:w="6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198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一、“三公”经费支出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二、机关运行经费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22</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25.96</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（一）支出合计</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6.20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5.10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三、国有资产占用情况</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22</w:t>
            </w:r>
          </w:p>
        </w:tc>
        <w:tc>
          <w:tcPr>
            <w:tcW w:w="19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1．因公出国（境）费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（一）车辆数合计（辆）</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23</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2．公务用车购置及运行维护费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1．部级领导干部用车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24</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（1）公务用车购置费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2．一般公务用车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25</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（2）公务用车运行维护费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2.00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3．一般执法执勤用车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26</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3．公务接待费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3.20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3.10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4．特种专业技术用车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27</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（1）国内接待费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3.20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3.10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5．其他用车</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28</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（二）单价50万元以上通用设备（台，套）</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29</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（2）国（境）外接待费</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9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（三）单价100万元以上专用设备（台，套）</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30</w:t>
            </w:r>
          </w:p>
        </w:tc>
        <w:tc>
          <w:tcPr>
            <w:tcW w:w="198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（二）相关统计数</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32</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1．因公出国（境）团组数（个）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33</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2．因公出国（境）人次数（人）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13</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34</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3．公务用车购置数（辆）</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14</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35</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4．公务用车保有量（辆）</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15</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36</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5．国内公务接待批次（个）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16</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58</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37</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其中：外事接待批次（个）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17</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38</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6．国内公务接待人次（人）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18</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600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39</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其中：外事接待人次（人）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19</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40</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7．国（境）外公务接待批次（个）</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20</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41</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gridAfter w:val="1"/>
          <w:wAfter w:w="6" w:type="dxa"/>
          <w:trHeight w:val="309" w:hRule="atLeast"/>
        </w:trPr>
        <w:tc>
          <w:tcPr>
            <w:tcW w:w="4536"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xml:space="preserve">  8．国（境）外公务接待人次（人）</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21</w:t>
            </w:r>
          </w:p>
        </w:tc>
        <w:tc>
          <w:tcPr>
            <w:tcW w:w="9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10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6031"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65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42</w:t>
            </w:r>
          </w:p>
        </w:tc>
        <w:tc>
          <w:tcPr>
            <w:tcW w:w="198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　</w:t>
            </w:r>
          </w:p>
        </w:tc>
      </w:tr>
      <w:tr>
        <w:tblPrEx>
          <w:tblLayout w:type="fixed"/>
          <w:tblCellMar>
            <w:top w:w="0" w:type="dxa"/>
            <w:left w:w="108" w:type="dxa"/>
            <w:bottom w:w="0" w:type="dxa"/>
            <w:right w:w="108" w:type="dxa"/>
          </w:tblCellMar>
        </w:tblPrEx>
        <w:trPr>
          <w:trHeight w:val="309" w:hRule="atLeast"/>
        </w:trPr>
        <w:tc>
          <w:tcPr>
            <w:tcW w:w="15823" w:type="dxa"/>
            <w:gridSpan w:val="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注：本表反映部门本年度“三公”经费、机关运行经费和国有资产占用情况等相关统计指标。本部门本年度无相关支出情况，按要求以空表列示。</w:t>
            </w:r>
          </w:p>
        </w:tc>
      </w:tr>
      <w:tr>
        <w:tblPrEx>
          <w:tblLayout w:type="fixed"/>
          <w:tblCellMar>
            <w:top w:w="0" w:type="dxa"/>
            <w:left w:w="108" w:type="dxa"/>
            <w:bottom w:w="0" w:type="dxa"/>
            <w:right w:w="108" w:type="dxa"/>
          </w:tblCellMar>
        </w:tblPrEx>
        <w:trPr>
          <w:gridAfter w:val="1"/>
          <w:wAfter w:w="6" w:type="dxa"/>
          <w:trHeight w:val="264" w:hRule="atLeast"/>
        </w:trPr>
        <w:tc>
          <w:tcPr>
            <w:tcW w:w="4536" w:type="dxa"/>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010"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03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gridAfter w:val="1"/>
          <w:wAfter w:w="6" w:type="dxa"/>
          <w:trHeight w:val="264" w:hRule="atLeast"/>
        </w:trPr>
        <w:tc>
          <w:tcPr>
            <w:tcW w:w="4536"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955" w:type="dxa"/>
            <w:tcBorders>
              <w:top w:val="nil"/>
              <w:left w:val="nil"/>
              <w:bottom w:val="nil"/>
              <w:right w:val="nil"/>
            </w:tcBorders>
            <w:shd w:val="clear" w:color="auto" w:fill="auto"/>
            <w:vAlign w:val="bottom"/>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rPr>
              <w:t xml:space="preserve"> </w:t>
            </w:r>
            <w:r>
              <w:rPr>
                <w:rFonts w:ascii="Times New Roman" w:hAnsi="Times New Roman" w:cs="Times New Roman"/>
                <w:kern w:val="0"/>
                <w:sz w:val="20"/>
                <w:szCs w:val="20"/>
              </w:rPr>
              <w:t xml:space="preserve">            </w:t>
            </w:r>
          </w:p>
        </w:tc>
        <w:tc>
          <w:tcPr>
            <w:tcW w:w="101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9 —</w:t>
            </w:r>
          </w:p>
        </w:tc>
        <w:tc>
          <w:tcPr>
            <w:tcW w:w="6031"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p>
        </w:tc>
        <w:tc>
          <w:tcPr>
            <w:tcW w:w="651"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c>
          <w:tcPr>
            <w:tcW w:w="1983" w:type="dxa"/>
            <w:tcBorders>
              <w:top w:val="nil"/>
              <w:left w:val="nil"/>
              <w:bottom w:val="nil"/>
              <w:right w:val="nil"/>
            </w:tcBorders>
            <w:shd w:val="clear" w:color="auto" w:fill="auto"/>
            <w:vAlign w:val="bottom"/>
          </w:tcPr>
          <w:p>
            <w:pPr>
              <w:widowControl/>
              <w:jc w:val="left"/>
              <w:rPr>
                <w:rFonts w:ascii="Times New Roman" w:hAnsi="Times New Roman" w:eastAsia="Times New Roman" w:cs="Times New Roman"/>
                <w:kern w:val="0"/>
                <w:sz w:val="20"/>
                <w:szCs w:val="20"/>
              </w:rPr>
            </w:pPr>
          </w:p>
        </w:tc>
      </w:tr>
    </w:tbl>
    <w:p>
      <w:pPr>
        <w:widowControl/>
        <w:jc w:val="left"/>
        <w:rPr>
          <w:rFonts w:ascii="仿宋" w:hAnsi="仿宋" w:eastAsia="仿宋" w:cstheme="majorEastAsia"/>
          <w:b/>
          <w:bCs/>
          <w:color w:val="000000"/>
          <w:sz w:val="32"/>
          <w:szCs w:val="32"/>
          <w:shd w:val="clear" w:color="auto" w:fill="FFFFFF"/>
        </w:rPr>
      </w:pPr>
    </w:p>
    <w:tbl>
      <w:tblPr>
        <w:tblStyle w:val="8"/>
        <w:tblW w:w="15037" w:type="dxa"/>
        <w:tblInd w:w="0" w:type="dxa"/>
        <w:tblLayout w:type="fixed"/>
        <w:tblCellMar>
          <w:top w:w="15" w:type="dxa"/>
          <w:left w:w="15" w:type="dxa"/>
          <w:bottom w:w="15" w:type="dxa"/>
          <w:right w:w="15" w:type="dxa"/>
        </w:tblCellMar>
      </w:tblPr>
      <w:tblGrid>
        <w:gridCol w:w="1702"/>
        <w:gridCol w:w="2220"/>
        <w:gridCol w:w="2040"/>
        <w:gridCol w:w="2010"/>
        <w:gridCol w:w="2310"/>
        <w:gridCol w:w="2280"/>
        <w:gridCol w:w="2475"/>
      </w:tblGrid>
      <w:tr>
        <w:tblPrEx>
          <w:tblLayout w:type="fixed"/>
          <w:tblCellMar>
            <w:top w:w="15" w:type="dxa"/>
            <w:left w:w="15" w:type="dxa"/>
            <w:bottom w:w="15" w:type="dxa"/>
            <w:right w:w="15" w:type="dxa"/>
          </w:tblCellMar>
        </w:tblPrEx>
        <w:trPr>
          <w:trHeight w:val="390" w:hRule="atLeast"/>
        </w:trPr>
        <w:tc>
          <w:tcPr>
            <w:tcW w:w="15037" w:type="dxa"/>
            <w:gridSpan w:val="7"/>
            <w:shd w:val="clear" w:color="auto" w:fill="auto"/>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0"/>
                <w:szCs w:val="30"/>
              </w:rPr>
              <w:t>政府采购情况表</w:t>
            </w:r>
          </w:p>
        </w:tc>
      </w:tr>
      <w:tr>
        <w:tblPrEx>
          <w:tblLayout w:type="fixed"/>
          <w:tblCellMar>
            <w:top w:w="15" w:type="dxa"/>
            <w:left w:w="15" w:type="dxa"/>
            <w:bottom w:w="15" w:type="dxa"/>
            <w:right w:w="15" w:type="dxa"/>
          </w:tblCellMar>
        </w:tblPrEx>
        <w:trPr>
          <w:trHeight w:val="286" w:hRule="atLeast"/>
        </w:trPr>
        <w:tc>
          <w:tcPr>
            <w:tcW w:w="1702" w:type="dxa"/>
            <w:shd w:val="clear" w:color="auto" w:fill="auto"/>
            <w:vAlign w:val="bottom"/>
          </w:tcPr>
          <w:p>
            <w:pPr>
              <w:rPr>
                <w:rFonts w:ascii="Arial" w:hAnsi="Arial" w:cs="Arial"/>
                <w:color w:val="000000"/>
                <w:sz w:val="20"/>
                <w:szCs w:val="20"/>
              </w:rPr>
            </w:pPr>
          </w:p>
        </w:tc>
        <w:tc>
          <w:tcPr>
            <w:tcW w:w="2220" w:type="dxa"/>
            <w:shd w:val="clear" w:color="auto" w:fill="auto"/>
            <w:vAlign w:val="bottom"/>
          </w:tcPr>
          <w:p>
            <w:pPr>
              <w:rPr>
                <w:rFonts w:ascii="Arial" w:hAnsi="Arial" w:cs="Arial"/>
                <w:color w:val="000000"/>
                <w:sz w:val="20"/>
                <w:szCs w:val="20"/>
              </w:rPr>
            </w:pPr>
          </w:p>
        </w:tc>
        <w:tc>
          <w:tcPr>
            <w:tcW w:w="2040" w:type="dxa"/>
            <w:shd w:val="clear" w:color="auto" w:fill="auto"/>
            <w:vAlign w:val="bottom"/>
          </w:tcPr>
          <w:p>
            <w:pPr>
              <w:rPr>
                <w:rFonts w:ascii="Arial" w:hAnsi="Arial" w:cs="Arial"/>
                <w:color w:val="000000"/>
                <w:sz w:val="20"/>
                <w:szCs w:val="20"/>
              </w:rPr>
            </w:pPr>
          </w:p>
        </w:tc>
        <w:tc>
          <w:tcPr>
            <w:tcW w:w="2010" w:type="dxa"/>
            <w:shd w:val="clear" w:color="auto" w:fill="auto"/>
            <w:vAlign w:val="bottom"/>
          </w:tcPr>
          <w:p>
            <w:pPr>
              <w:rPr>
                <w:rFonts w:ascii="Arial" w:hAnsi="Arial" w:cs="Arial"/>
                <w:color w:val="000000"/>
                <w:sz w:val="20"/>
                <w:szCs w:val="20"/>
              </w:rPr>
            </w:pPr>
          </w:p>
        </w:tc>
        <w:tc>
          <w:tcPr>
            <w:tcW w:w="2310" w:type="dxa"/>
            <w:shd w:val="clear" w:color="auto" w:fill="auto"/>
            <w:vAlign w:val="bottom"/>
          </w:tcPr>
          <w:p>
            <w:pPr>
              <w:rPr>
                <w:rFonts w:ascii="Arial" w:hAnsi="Arial" w:cs="Arial"/>
                <w:color w:val="000000"/>
                <w:sz w:val="20"/>
                <w:szCs w:val="20"/>
              </w:rPr>
            </w:pPr>
          </w:p>
        </w:tc>
        <w:tc>
          <w:tcPr>
            <w:tcW w:w="2280" w:type="dxa"/>
            <w:shd w:val="clear" w:color="auto" w:fill="auto"/>
            <w:vAlign w:val="bottom"/>
          </w:tcPr>
          <w:p>
            <w:pPr>
              <w:rPr>
                <w:rFonts w:ascii="Arial" w:hAnsi="Arial" w:cs="Arial"/>
                <w:color w:val="000000"/>
                <w:sz w:val="20"/>
                <w:szCs w:val="20"/>
              </w:rPr>
            </w:pPr>
          </w:p>
        </w:tc>
        <w:tc>
          <w:tcPr>
            <w:tcW w:w="2475"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公开10表</w:t>
            </w:r>
          </w:p>
        </w:tc>
      </w:tr>
      <w:tr>
        <w:tblPrEx>
          <w:tblLayout w:type="fixed"/>
          <w:tblCellMar>
            <w:top w:w="15" w:type="dxa"/>
            <w:left w:w="15" w:type="dxa"/>
            <w:bottom w:w="15" w:type="dxa"/>
            <w:right w:w="15" w:type="dxa"/>
          </w:tblCellMar>
        </w:tblPrEx>
        <w:trPr>
          <w:trHeight w:val="286" w:hRule="atLeast"/>
        </w:trPr>
        <w:tc>
          <w:tcPr>
            <w:tcW w:w="5962" w:type="dxa"/>
            <w:gridSpan w:val="3"/>
            <w:shd w:val="clear" w:color="auto" w:fill="auto"/>
            <w:vAlign w:val="bottom"/>
          </w:tcPr>
          <w:p>
            <w:pPr>
              <w:rPr>
                <w:rFonts w:ascii="Arial" w:hAnsi="Arial" w:cs="Arial"/>
                <w:color w:val="000000"/>
                <w:sz w:val="20"/>
                <w:szCs w:val="20"/>
              </w:rPr>
            </w:pPr>
            <w:r>
              <w:rPr>
                <w:rFonts w:hint="eastAsia" w:ascii="宋体" w:hAnsi="宋体" w:eastAsia="宋体" w:cs="宋体"/>
                <w:color w:val="000000"/>
                <w:kern w:val="0"/>
                <w:sz w:val="20"/>
                <w:szCs w:val="20"/>
              </w:rPr>
              <w:t>编制单位：南宫市段芦头镇人民政府（本级）</w:t>
            </w:r>
          </w:p>
        </w:tc>
        <w:tc>
          <w:tcPr>
            <w:tcW w:w="2010" w:type="dxa"/>
            <w:shd w:val="clear" w:color="auto" w:fill="auto"/>
            <w:vAlign w:val="bottom"/>
          </w:tcPr>
          <w:p>
            <w:pPr>
              <w:rPr>
                <w:rFonts w:ascii="Arial" w:hAnsi="Arial" w:cs="Arial"/>
                <w:color w:val="000000"/>
                <w:sz w:val="20"/>
                <w:szCs w:val="20"/>
              </w:rPr>
            </w:pPr>
          </w:p>
        </w:tc>
        <w:tc>
          <w:tcPr>
            <w:tcW w:w="2310" w:type="dxa"/>
            <w:shd w:val="clear" w:color="auto" w:fill="auto"/>
            <w:vAlign w:val="bottom"/>
          </w:tcPr>
          <w:p>
            <w:pPr>
              <w:rPr>
                <w:rFonts w:ascii="Arial" w:hAnsi="Arial" w:cs="Arial"/>
                <w:color w:val="000000"/>
                <w:sz w:val="20"/>
                <w:szCs w:val="20"/>
              </w:rPr>
            </w:pPr>
          </w:p>
        </w:tc>
        <w:tc>
          <w:tcPr>
            <w:tcW w:w="2280" w:type="dxa"/>
            <w:shd w:val="clear" w:color="auto" w:fill="auto"/>
            <w:vAlign w:val="bottom"/>
          </w:tcPr>
          <w:p>
            <w:pPr>
              <w:rPr>
                <w:rFonts w:ascii="Arial" w:hAnsi="Arial" w:cs="Arial"/>
                <w:color w:val="000000"/>
                <w:sz w:val="20"/>
                <w:szCs w:val="20"/>
              </w:rPr>
            </w:pPr>
          </w:p>
        </w:tc>
        <w:tc>
          <w:tcPr>
            <w:tcW w:w="2475" w:type="dxa"/>
            <w:shd w:val="clear" w:color="auto" w:fill="auto"/>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15" w:type="dxa"/>
            <w:left w:w="15" w:type="dxa"/>
            <w:bottom w:w="15" w:type="dxa"/>
            <w:right w:w="15" w:type="dxa"/>
          </w:tblCellMar>
        </w:tblPrEx>
        <w:trPr>
          <w:trHeight w:val="301" w:hRule="atLeast"/>
        </w:trPr>
        <w:tc>
          <w:tcPr>
            <w:tcW w:w="1702"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13335" w:type="dxa"/>
            <w:gridSpan w:val="6"/>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采购计划金额</w:t>
            </w:r>
          </w:p>
        </w:tc>
      </w:tr>
      <w:tr>
        <w:tblPrEx>
          <w:tblLayout w:type="fixed"/>
          <w:tblCellMar>
            <w:top w:w="15" w:type="dxa"/>
            <w:left w:w="15" w:type="dxa"/>
            <w:bottom w:w="15" w:type="dxa"/>
            <w:right w:w="15" w:type="dxa"/>
          </w:tblCellMar>
        </w:tblPrEx>
        <w:trPr>
          <w:trHeight w:val="301"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22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总计</w:t>
            </w:r>
          </w:p>
        </w:tc>
        <w:tc>
          <w:tcPr>
            <w:tcW w:w="8640" w:type="dxa"/>
            <w:gridSpan w:val="4"/>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采购预算(财政性资金)</w:t>
            </w:r>
          </w:p>
        </w:tc>
        <w:tc>
          <w:tcPr>
            <w:tcW w:w="247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非财政性资金</w:t>
            </w:r>
          </w:p>
        </w:tc>
      </w:tr>
      <w:tr>
        <w:tblPrEx>
          <w:tblLayout w:type="fixed"/>
        </w:tblPrEx>
        <w:trPr>
          <w:trHeight w:val="301" w:hRule="atLeast"/>
        </w:trPr>
        <w:tc>
          <w:tcPr>
            <w:tcW w:w="1702" w:type="dxa"/>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22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04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20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一般公共预算</w:t>
            </w:r>
          </w:p>
        </w:tc>
        <w:tc>
          <w:tcPr>
            <w:tcW w:w="23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政府性基金预算</w:t>
            </w:r>
          </w:p>
        </w:tc>
        <w:tc>
          <w:tcPr>
            <w:tcW w:w="228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其他资金</w:t>
            </w:r>
          </w:p>
        </w:tc>
        <w:tc>
          <w:tcPr>
            <w:tcW w:w="247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222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204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20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23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228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247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      计</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货物</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工程</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服务</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1702" w:type="dxa"/>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w:t>
            </w:r>
          </w:p>
        </w:tc>
        <w:tc>
          <w:tcPr>
            <w:tcW w:w="13335" w:type="dxa"/>
            <w:gridSpan w:val="6"/>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实际采购金额</w:t>
            </w:r>
          </w:p>
        </w:tc>
      </w:tr>
      <w:tr>
        <w:tblPrEx>
          <w:tblLayout w:type="fixed"/>
          <w:tblCellMar>
            <w:top w:w="15" w:type="dxa"/>
            <w:left w:w="15" w:type="dxa"/>
            <w:bottom w:w="15" w:type="dxa"/>
            <w:right w:w="15" w:type="dxa"/>
          </w:tblCellMar>
        </w:tblPrEx>
        <w:trPr>
          <w:trHeight w:val="301" w:hRule="atLeast"/>
        </w:trPr>
        <w:tc>
          <w:tcPr>
            <w:tcW w:w="170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22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总计</w:t>
            </w:r>
          </w:p>
        </w:tc>
        <w:tc>
          <w:tcPr>
            <w:tcW w:w="8640" w:type="dxa"/>
            <w:gridSpan w:val="4"/>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采购预算(财政性资金)</w:t>
            </w:r>
          </w:p>
        </w:tc>
        <w:tc>
          <w:tcPr>
            <w:tcW w:w="2475"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非财政性资金</w:t>
            </w:r>
          </w:p>
        </w:tc>
      </w:tr>
      <w:tr>
        <w:tblPrEx>
          <w:tblLayout w:type="fixed"/>
          <w:tblCellMar>
            <w:top w:w="15" w:type="dxa"/>
            <w:left w:w="15" w:type="dxa"/>
            <w:bottom w:w="15" w:type="dxa"/>
            <w:right w:w="15" w:type="dxa"/>
          </w:tblCellMar>
        </w:tblPrEx>
        <w:trPr>
          <w:trHeight w:val="301" w:hRule="atLeast"/>
        </w:trPr>
        <w:tc>
          <w:tcPr>
            <w:tcW w:w="170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220"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c>
          <w:tcPr>
            <w:tcW w:w="204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20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一般公共预算</w:t>
            </w:r>
          </w:p>
        </w:tc>
        <w:tc>
          <w:tcPr>
            <w:tcW w:w="23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政府性基金预算</w:t>
            </w:r>
          </w:p>
        </w:tc>
        <w:tc>
          <w:tcPr>
            <w:tcW w:w="228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其他资金</w:t>
            </w:r>
          </w:p>
        </w:tc>
        <w:tc>
          <w:tcPr>
            <w:tcW w:w="2475" w:type="dxa"/>
            <w:vMerge w:val="continue"/>
            <w:tcBorders>
              <w:bottom w:val="single" w:color="000000" w:sz="4" w:space="0"/>
              <w:right w:val="single" w:color="000000" w:sz="4" w:space="0"/>
            </w:tcBorders>
            <w:shd w:val="clear" w:color="FFFFFF" w:fill="C0C0C0"/>
            <w:vAlign w:val="center"/>
          </w:tcPr>
          <w:p>
            <w:pPr>
              <w:jc w:val="cente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222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204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20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231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2280"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2475" w:type="dxa"/>
            <w:tcBorders>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      计</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货物</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工程</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95.90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702"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服务</w:t>
            </w:r>
          </w:p>
        </w:tc>
        <w:tc>
          <w:tcPr>
            <w:tcW w:w="222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4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0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31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280"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c>
          <w:tcPr>
            <w:tcW w:w="2475" w:type="dxa"/>
            <w:tcBorders>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0.00</w:t>
            </w:r>
          </w:p>
        </w:tc>
      </w:tr>
      <w:tr>
        <w:tblPrEx>
          <w:tblLayout w:type="fixed"/>
          <w:tblCellMar>
            <w:top w:w="15" w:type="dxa"/>
            <w:left w:w="15" w:type="dxa"/>
            <w:bottom w:w="15" w:type="dxa"/>
            <w:right w:w="15" w:type="dxa"/>
          </w:tblCellMar>
        </w:tblPrEx>
        <w:trPr>
          <w:trHeight w:val="301" w:hRule="atLeast"/>
        </w:trPr>
        <w:tc>
          <w:tcPr>
            <w:tcW w:w="15037" w:type="dxa"/>
            <w:gridSpan w:val="7"/>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注：本表反映部门本年度纳入部门预算范围的政府采购预算及支出情况。本部门本年度无预算及支出情况，按要求以空表列示。</w:t>
            </w:r>
          </w:p>
        </w:tc>
      </w:tr>
    </w:tbl>
    <w:p>
      <w:pPr>
        <w:widowControl/>
        <w:jc w:val="left"/>
        <w:rPr>
          <w:rFonts w:ascii="仿宋" w:hAnsi="仿宋" w:eastAsia="仿宋" w:cstheme="majorEastAsia"/>
          <w:b/>
          <w:bCs/>
          <w:color w:val="000000"/>
          <w:sz w:val="32"/>
          <w:szCs w:val="32"/>
          <w:shd w:val="clear" w:color="auto" w:fill="FFFFFF"/>
        </w:rPr>
      </w:pPr>
    </w:p>
    <w:p>
      <w:pPr>
        <w:widowControl/>
        <w:jc w:val="left"/>
        <w:rPr>
          <w:rFonts w:ascii="仿宋" w:hAnsi="仿宋" w:eastAsia="仿宋" w:cstheme="majorEastAsia"/>
          <w:b/>
          <w:bCs/>
          <w:color w:val="000000"/>
          <w:sz w:val="32"/>
          <w:szCs w:val="32"/>
          <w:shd w:val="clear" w:color="auto" w:fill="FFFFFF"/>
        </w:rPr>
      </w:pPr>
    </w:p>
    <w:p>
      <w:pPr>
        <w:widowControl/>
        <w:jc w:val="center"/>
        <w:rPr>
          <w:rFonts w:ascii="仿宋" w:hAnsi="仿宋" w:eastAsia="仿宋" w:cstheme="majorEastAsia"/>
          <w:b/>
          <w:bCs/>
          <w:color w:val="000000"/>
          <w:sz w:val="32"/>
          <w:szCs w:val="32"/>
          <w:shd w:val="clear" w:color="auto" w:fill="FFFFFF"/>
        </w:rPr>
        <w:sectPr>
          <w:pgSz w:w="16838" w:h="11906" w:orient="landscape"/>
          <w:pgMar w:top="567" w:right="678" w:bottom="567" w:left="567" w:header="851" w:footer="992" w:gutter="0"/>
          <w:cols w:space="425" w:num="1"/>
          <w:docGrid w:type="lines" w:linePitch="316" w:charSpace="0"/>
        </w:sectPr>
      </w:pPr>
    </w:p>
    <w:p>
      <w:pPr>
        <w:widowControl/>
        <w:spacing w:line="360" w:lineRule="auto"/>
        <w:jc w:val="center"/>
        <w:rPr>
          <w:rFonts w:ascii="仿宋" w:hAnsi="仿宋" w:eastAsia="仿宋" w:cs="宋体"/>
          <w:kern w:val="0"/>
          <w:sz w:val="24"/>
        </w:rPr>
      </w:pPr>
      <w:r>
        <w:rPr>
          <w:rFonts w:hint="eastAsia" w:ascii="仿宋" w:hAnsi="仿宋" w:eastAsia="仿宋" w:cstheme="majorEastAsia"/>
          <w:b/>
          <w:bCs/>
          <w:color w:val="000000"/>
          <w:sz w:val="32"/>
          <w:szCs w:val="32"/>
          <w:shd w:val="clear" w:color="auto" w:fill="FFFFFF"/>
        </w:rPr>
        <w:t xml:space="preserve">第三部分  </w:t>
      </w:r>
      <w:r>
        <w:rPr>
          <w:rFonts w:hint="eastAsia" w:ascii="仿宋" w:hAnsi="仿宋" w:eastAsia="仿宋" w:cstheme="majorEastAsia"/>
          <w:b/>
          <w:bCs/>
          <w:kern w:val="0"/>
          <w:sz w:val="32"/>
          <w:szCs w:val="32"/>
        </w:rPr>
        <w:t>2017年部门决算情况说明</w:t>
      </w:r>
    </w:p>
    <w:p>
      <w:pPr>
        <w:pStyle w:val="4"/>
        <w:widowControl/>
        <w:shd w:val="clear" w:color="auto" w:fill="FFFFFF"/>
        <w:adjustRightInd w:val="0"/>
        <w:snapToGrid w:val="0"/>
        <w:spacing w:beforeAutospacing="0" w:afterAutospacing="0" w:line="360" w:lineRule="auto"/>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w:t>
      </w:r>
    </w:p>
    <w:p>
      <w:pPr>
        <w:widowControl/>
        <w:numPr>
          <w:ilvl w:val="0"/>
          <w:numId w:val="3"/>
        </w:numPr>
        <w:spacing w:before="100" w:beforeAutospacing="1" w:after="100" w:afterAutospacing="1"/>
        <w:ind w:firstLine="640" w:firstLineChars="200"/>
        <w:jc w:val="left"/>
        <w:rPr>
          <w:rFonts w:ascii="仿宋" w:hAnsi="仿宋" w:eastAsia="仿宋" w:cs="新宋体"/>
          <w:kern w:val="0"/>
          <w:sz w:val="32"/>
          <w:szCs w:val="32"/>
        </w:rPr>
      </w:pPr>
      <w:r>
        <w:rPr>
          <w:rFonts w:hint="eastAsia" w:ascii="仿宋" w:hAnsi="仿宋" w:eastAsia="仿宋" w:cs="新宋体"/>
          <w:kern w:val="0"/>
          <w:sz w:val="32"/>
          <w:szCs w:val="32"/>
        </w:rPr>
        <w:t>收入支出决算总体情况说明</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仿宋" w:hAnsi="仿宋" w:eastAsia="仿宋" w:cs="仿宋_GB2312"/>
          <w:color w:val="000000"/>
          <w:kern w:val="2"/>
          <w:sz w:val="32"/>
          <w:szCs w:val="32"/>
          <w:shd w:val="clear" w:color="auto" w:fill="FFFFFF"/>
        </w:rPr>
        <w:t>1、2017年决算收入数</w:t>
      </w:r>
      <w:r>
        <w:rPr>
          <w:rFonts w:hint="eastAsia" w:ascii="仿宋" w:hAnsi="仿宋" w:eastAsia="仿宋" w:cs="仿宋_GB2312"/>
          <w:color w:val="000000"/>
          <w:kern w:val="2"/>
          <w:sz w:val="32"/>
          <w:szCs w:val="32"/>
          <w:shd w:val="clear" w:color="auto" w:fill="FFFFFF"/>
        </w:rPr>
        <w:t>2007.25</w:t>
      </w:r>
      <w:r>
        <w:rPr>
          <w:rFonts w:ascii="仿宋" w:hAnsi="仿宋" w:eastAsia="仿宋" w:cs="仿宋_GB2312"/>
          <w:color w:val="000000"/>
          <w:kern w:val="2"/>
          <w:sz w:val="32"/>
          <w:szCs w:val="32"/>
          <w:shd w:val="clear" w:color="auto" w:fill="FFFFFF"/>
        </w:rPr>
        <w:t>万元，其中财政拨款数</w:t>
      </w:r>
      <w:r>
        <w:rPr>
          <w:rFonts w:hint="eastAsia" w:ascii="仿宋" w:hAnsi="仿宋" w:eastAsia="仿宋" w:cs="仿宋_GB2312"/>
          <w:color w:val="000000"/>
          <w:kern w:val="2"/>
          <w:sz w:val="32"/>
          <w:szCs w:val="32"/>
          <w:shd w:val="clear" w:color="auto" w:fill="FFFFFF"/>
        </w:rPr>
        <w:t>2007.25</w:t>
      </w:r>
      <w:r>
        <w:rPr>
          <w:rFonts w:ascii="仿宋" w:hAnsi="仿宋" w:eastAsia="仿宋" w:cs="仿宋_GB2312"/>
          <w:color w:val="000000"/>
          <w:kern w:val="2"/>
          <w:sz w:val="32"/>
          <w:szCs w:val="32"/>
          <w:shd w:val="clear" w:color="auto" w:fill="FFFFFF"/>
        </w:rPr>
        <w:t>万元，占总收入的</w:t>
      </w:r>
      <w:r>
        <w:rPr>
          <w:rFonts w:hint="eastAsia" w:ascii="仿宋" w:hAnsi="仿宋" w:eastAsia="仿宋" w:cs="仿宋_GB2312"/>
          <w:color w:val="000000"/>
          <w:kern w:val="2"/>
          <w:sz w:val="32"/>
          <w:szCs w:val="32"/>
          <w:shd w:val="clear" w:color="auto" w:fill="FFFFFF"/>
        </w:rPr>
        <w:t>100％</w:t>
      </w:r>
      <w:r>
        <w:rPr>
          <w:rFonts w:ascii="仿宋" w:hAnsi="仿宋" w:eastAsia="仿宋" w:cs="仿宋_GB2312"/>
          <w:color w:val="000000"/>
          <w:kern w:val="2"/>
          <w:sz w:val="32"/>
          <w:szCs w:val="32"/>
          <w:shd w:val="clear" w:color="auto" w:fill="FFFFFF"/>
        </w:rPr>
        <w:t>。</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Calibri" w:hAnsi="Calibri" w:eastAsia="仿宋" w:cs="Calibri"/>
          <w:color w:val="000000"/>
          <w:kern w:val="2"/>
          <w:sz w:val="32"/>
          <w:szCs w:val="32"/>
          <w:shd w:val="clear" w:color="auto" w:fill="FFFFFF"/>
        </w:rPr>
        <w:t> </w:t>
      </w:r>
      <w:r>
        <w:rPr>
          <w:rFonts w:ascii="仿宋" w:hAnsi="仿宋" w:eastAsia="仿宋" w:cs="仿宋_GB2312"/>
          <w:color w:val="000000"/>
          <w:kern w:val="2"/>
          <w:sz w:val="32"/>
          <w:szCs w:val="32"/>
          <w:shd w:val="clear" w:color="auto" w:fill="FFFFFF"/>
        </w:rPr>
        <w:t>2017年决算支出数</w:t>
      </w:r>
      <w:r>
        <w:rPr>
          <w:rFonts w:hint="eastAsia" w:ascii="仿宋" w:hAnsi="仿宋" w:eastAsia="仿宋" w:cs="仿宋_GB2312"/>
          <w:color w:val="000000"/>
          <w:kern w:val="2"/>
          <w:sz w:val="32"/>
          <w:szCs w:val="32"/>
          <w:shd w:val="clear" w:color="auto" w:fill="FFFFFF"/>
        </w:rPr>
        <w:t>1994.56</w:t>
      </w:r>
      <w:r>
        <w:rPr>
          <w:rFonts w:ascii="仿宋" w:hAnsi="仿宋" w:eastAsia="仿宋" w:cs="仿宋_GB2312"/>
          <w:color w:val="000000"/>
          <w:kern w:val="2"/>
          <w:sz w:val="32"/>
          <w:szCs w:val="32"/>
          <w:shd w:val="clear" w:color="auto" w:fill="FFFFFF"/>
        </w:rPr>
        <w:t>万元，其中基本支出</w:t>
      </w:r>
      <w:r>
        <w:rPr>
          <w:rFonts w:hint="eastAsia" w:ascii="仿宋" w:hAnsi="仿宋" w:eastAsia="仿宋" w:cs="仿宋_GB2312"/>
          <w:color w:val="000000"/>
          <w:kern w:val="2"/>
          <w:sz w:val="32"/>
          <w:szCs w:val="32"/>
          <w:shd w:val="clear" w:color="auto" w:fill="FFFFFF"/>
        </w:rPr>
        <w:t>914.58</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45.85％</w:t>
      </w:r>
      <w:r>
        <w:rPr>
          <w:rFonts w:ascii="仿宋" w:hAnsi="仿宋" w:eastAsia="仿宋" w:cs="仿宋_GB2312"/>
          <w:color w:val="000000"/>
          <w:kern w:val="2"/>
          <w:sz w:val="32"/>
          <w:szCs w:val="32"/>
          <w:shd w:val="clear" w:color="auto" w:fill="FFFFFF"/>
        </w:rPr>
        <w:t>，项目支出数为</w:t>
      </w:r>
      <w:r>
        <w:rPr>
          <w:rFonts w:hint="eastAsia" w:ascii="仿宋" w:hAnsi="仿宋" w:eastAsia="仿宋" w:cs="仿宋_GB2312"/>
          <w:color w:val="000000"/>
          <w:kern w:val="2"/>
          <w:sz w:val="32"/>
          <w:szCs w:val="32"/>
          <w:shd w:val="clear" w:color="auto" w:fill="FFFFFF"/>
        </w:rPr>
        <w:t>1079.98</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54.15％</w:t>
      </w:r>
      <w:r>
        <w:rPr>
          <w:rFonts w:ascii="仿宋" w:hAnsi="仿宋" w:eastAsia="仿宋" w:cs="仿宋_GB2312"/>
          <w:color w:val="000000"/>
          <w:kern w:val="2"/>
          <w:sz w:val="32"/>
          <w:szCs w:val="32"/>
          <w:shd w:val="clear" w:color="auto" w:fill="FFFFFF"/>
        </w:rPr>
        <w:t>。</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仿宋" w:hAnsi="仿宋" w:eastAsia="仿宋" w:cs="仿宋_GB2312"/>
          <w:color w:val="000000"/>
          <w:kern w:val="2"/>
          <w:sz w:val="32"/>
          <w:szCs w:val="32"/>
          <w:shd w:val="clear" w:color="auto" w:fill="FFFFFF"/>
        </w:rPr>
        <w:t>2、2017年决算收入总数</w:t>
      </w:r>
      <w:r>
        <w:rPr>
          <w:rFonts w:hint="eastAsia" w:ascii="仿宋" w:hAnsi="仿宋" w:eastAsia="仿宋" w:cs="仿宋_GB2312"/>
          <w:color w:val="000000"/>
          <w:kern w:val="2"/>
          <w:sz w:val="32"/>
          <w:szCs w:val="32"/>
          <w:shd w:val="clear" w:color="auto" w:fill="FFFFFF"/>
        </w:rPr>
        <w:t>2007.25</w:t>
      </w:r>
      <w:r>
        <w:rPr>
          <w:rFonts w:ascii="仿宋" w:hAnsi="仿宋" w:eastAsia="仿宋" w:cs="仿宋_GB2312"/>
          <w:color w:val="000000"/>
          <w:kern w:val="2"/>
          <w:sz w:val="32"/>
          <w:szCs w:val="32"/>
          <w:shd w:val="clear" w:color="auto" w:fill="FFFFFF"/>
        </w:rPr>
        <w:t>万元，较上年</w:t>
      </w:r>
      <w:r>
        <w:rPr>
          <w:rFonts w:hint="eastAsia" w:ascii="仿宋" w:hAnsi="仿宋" w:eastAsia="仿宋" w:cs="仿宋_GB2312"/>
          <w:color w:val="000000"/>
          <w:kern w:val="2"/>
          <w:sz w:val="32"/>
          <w:szCs w:val="32"/>
          <w:shd w:val="clear" w:color="auto" w:fill="FFFFFF"/>
        </w:rPr>
        <w:t>1397.94</w:t>
      </w:r>
      <w:r>
        <w:rPr>
          <w:rFonts w:ascii="仿宋" w:hAnsi="仿宋" w:eastAsia="仿宋" w:cs="仿宋_GB2312"/>
          <w:color w:val="000000"/>
          <w:kern w:val="2"/>
          <w:sz w:val="32"/>
          <w:szCs w:val="32"/>
          <w:shd w:val="clear" w:color="auto" w:fill="FFFFFF"/>
        </w:rPr>
        <w:t>万元</w:t>
      </w:r>
      <w:r>
        <w:rPr>
          <w:rFonts w:hint="eastAsia" w:ascii="仿宋" w:hAnsi="仿宋" w:eastAsia="仿宋" w:cs="仿宋_GB2312"/>
          <w:color w:val="000000"/>
          <w:kern w:val="2"/>
          <w:sz w:val="32"/>
          <w:szCs w:val="32"/>
          <w:shd w:val="clear" w:color="auto" w:fill="FFFFFF"/>
        </w:rPr>
        <w:t>增加43.59％</w:t>
      </w:r>
      <w:r>
        <w:rPr>
          <w:rFonts w:ascii="仿宋" w:hAnsi="仿宋" w:eastAsia="仿宋" w:cs="仿宋_GB2312"/>
          <w:color w:val="000000"/>
          <w:kern w:val="2"/>
          <w:sz w:val="32"/>
          <w:szCs w:val="32"/>
          <w:shd w:val="clear" w:color="auto" w:fill="FFFFFF"/>
        </w:rPr>
        <w:t>，2017年决算支出总数</w:t>
      </w:r>
      <w:r>
        <w:rPr>
          <w:rFonts w:hint="eastAsia" w:ascii="仿宋" w:hAnsi="仿宋" w:eastAsia="仿宋" w:cs="仿宋_GB2312"/>
          <w:color w:val="000000"/>
          <w:kern w:val="2"/>
          <w:sz w:val="32"/>
          <w:szCs w:val="32"/>
          <w:shd w:val="clear" w:color="auto" w:fill="FFFFFF"/>
        </w:rPr>
        <w:t>1994.56</w:t>
      </w:r>
      <w:r>
        <w:rPr>
          <w:rFonts w:ascii="仿宋" w:hAnsi="仿宋" w:eastAsia="仿宋" w:cs="仿宋_GB2312"/>
          <w:color w:val="000000"/>
          <w:kern w:val="2"/>
          <w:sz w:val="32"/>
          <w:szCs w:val="32"/>
          <w:shd w:val="clear" w:color="auto" w:fill="FFFFFF"/>
        </w:rPr>
        <w:t>万元，较上年</w:t>
      </w:r>
      <w:r>
        <w:rPr>
          <w:rFonts w:hint="eastAsia" w:ascii="仿宋" w:hAnsi="仿宋" w:eastAsia="仿宋" w:cs="仿宋_GB2312"/>
          <w:color w:val="000000"/>
          <w:kern w:val="2"/>
          <w:sz w:val="32"/>
          <w:szCs w:val="32"/>
          <w:shd w:val="clear" w:color="auto" w:fill="FFFFFF"/>
        </w:rPr>
        <w:t>1441.45</w:t>
      </w:r>
      <w:r>
        <w:rPr>
          <w:rFonts w:ascii="仿宋" w:hAnsi="仿宋" w:eastAsia="仿宋" w:cs="仿宋_GB2312"/>
          <w:color w:val="000000"/>
          <w:kern w:val="2"/>
          <w:sz w:val="32"/>
          <w:szCs w:val="32"/>
          <w:shd w:val="clear" w:color="auto" w:fill="FFFFFF"/>
        </w:rPr>
        <w:t>万元</w:t>
      </w:r>
      <w:r>
        <w:rPr>
          <w:rFonts w:hint="eastAsia" w:ascii="仿宋" w:hAnsi="仿宋" w:eastAsia="仿宋" w:cs="仿宋_GB2312"/>
          <w:color w:val="000000"/>
          <w:kern w:val="2"/>
          <w:sz w:val="32"/>
          <w:szCs w:val="32"/>
          <w:shd w:val="clear" w:color="auto" w:fill="FFFFFF"/>
        </w:rPr>
        <w:t>增加38.37</w:t>
      </w:r>
      <w:r>
        <w:rPr>
          <w:rFonts w:ascii="仿宋" w:hAnsi="仿宋" w:eastAsia="仿宋" w:cs="仿宋_GB2312"/>
          <w:color w:val="000000"/>
          <w:kern w:val="2"/>
          <w:sz w:val="32"/>
          <w:szCs w:val="32"/>
          <w:shd w:val="clear" w:color="auto" w:fill="FFFFFF"/>
        </w:rPr>
        <w:t>％</w:t>
      </w:r>
      <w:r>
        <w:rPr>
          <w:rFonts w:hint="eastAsia" w:ascii="仿宋" w:hAnsi="仿宋" w:eastAsia="仿宋" w:cs="仿宋_GB2312"/>
          <w:color w:val="000000"/>
          <w:kern w:val="2"/>
          <w:sz w:val="32"/>
          <w:szCs w:val="32"/>
          <w:shd w:val="clear" w:color="auto" w:fill="FFFFFF"/>
        </w:rPr>
        <w:t>,主要是人员经费和项目经费增加</w:t>
      </w:r>
      <w:r>
        <w:rPr>
          <w:rFonts w:ascii="仿宋" w:hAnsi="仿宋" w:eastAsia="仿宋" w:cs="仿宋_GB2312"/>
          <w:color w:val="000000"/>
          <w:kern w:val="2"/>
          <w:sz w:val="32"/>
          <w:szCs w:val="32"/>
          <w:shd w:val="clear" w:color="auto" w:fill="FFFFFF"/>
        </w:rPr>
        <w:t>。</w:t>
      </w:r>
    </w:p>
    <w:p>
      <w:pPr>
        <w:widowControl/>
        <w:numPr>
          <w:ilvl w:val="0"/>
          <w:numId w:val="3"/>
        </w:numPr>
        <w:adjustRightInd w:val="0"/>
        <w:snapToGrid w:val="0"/>
        <w:spacing w:before="100" w:beforeAutospacing="1" w:after="100" w:afterAutospacing="1"/>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收入决算情况说明</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rPr>
      </w:pPr>
      <w:r>
        <w:rPr>
          <w:rFonts w:ascii="仿宋" w:hAnsi="仿宋" w:eastAsia="仿宋" w:cs="仿宋_GB2312"/>
          <w:color w:val="000000"/>
          <w:sz w:val="32"/>
          <w:szCs w:val="32"/>
        </w:rPr>
        <w:t>2017年财政拨款决算</w:t>
      </w:r>
      <w:r>
        <w:rPr>
          <w:rFonts w:hint="eastAsia" w:ascii="仿宋" w:hAnsi="仿宋" w:eastAsia="仿宋" w:cs="仿宋_GB2312"/>
          <w:color w:val="000000"/>
          <w:sz w:val="32"/>
          <w:szCs w:val="32"/>
        </w:rPr>
        <w:t>收入</w:t>
      </w:r>
      <w:r>
        <w:rPr>
          <w:rFonts w:ascii="仿宋" w:hAnsi="仿宋" w:eastAsia="仿宋" w:cs="仿宋_GB2312"/>
          <w:color w:val="000000"/>
          <w:sz w:val="32"/>
          <w:szCs w:val="32"/>
        </w:rPr>
        <w:t>数</w:t>
      </w:r>
      <w:r>
        <w:rPr>
          <w:rFonts w:hint="eastAsia" w:ascii="仿宋" w:hAnsi="仿宋" w:eastAsia="仿宋" w:cs="仿宋_GB2312"/>
          <w:color w:val="000000"/>
          <w:sz w:val="32"/>
          <w:szCs w:val="32"/>
          <w:shd w:val="clear" w:color="auto" w:fill="FFFFFF"/>
        </w:rPr>
        <w:t>2007.25</w:t>
      </w:r>
      <w:r>
        <w:rPr>
          <w:rFonts w:ascii="仿宋" w:hAnsi="仿宋" w:eastAsia="仿宋" w:cs="仿宋_GB2312"/>
          <w:color w:val="000000"/>
          <w:sz w:val="32"/>
          <w:szCs w:val="32"/>
        </w:rPr>
        <w:t>万元，较预算数</w:t>
      </w:r>
      <w:r>
        <w:rPr>
          <w:rFonts w:hint="eastAsia" w:ascii="仿宋" w:hAnsi="仿宋" w:eastAsia="仿宋" w:cs="仿宋_GB2312"/>
          <w:color w:val="000000"/>
          <w:sz w:val="32"/>
          <w:szCs w:val="32"/>
        </w:rPr>
        <w:t>2389.13</w:t>
      </w:r>
      <w:r>
        <w:rPr>
          <w:rFonts w:ascii="仿宋" w:hAnsi="仿宋" w:eastAsia="仿宋" w:cs="仿宋_GB2312"/>
          <w:color w:val="000000"/>
          <w:sz w:val="32"/>
          <w:szCs w:val="32"/>
        </w:rPr>
        <w:t>万元</w:t>
      </w:r>
      <w:r>
        <w:rPr>
          <w:rFonts w:hint="eastAsia" w:ascii="仿宋" w:hAnsi="仿宋" w:eastAsia="仿宋" w:cs="仿宋_GB2312"/>
          <w:color w:val="000000"/>
          <w:sz w:val="32"/>
          <w:szCs w:val="32"/>
        </w:rPr>
        <w:t>减少15.98%，主要是预算项目未完成</w:t>
      </w:r>
      <w:r>
        <w:rPr>
          <w:rFonts w:ascii="仿宋" w:hAnsi="仿宋" w:eastAsia="仿宋" w:cs="仿宋_GB2312"/>
          <w:color w:val="000000"/>
          <w:sz w:val="32"/>
          <w:szCs w:val="32"/>
        </w:rPr>
        <w:t>。</w:t>
      </w:r>
    </w:p>
    <w:p>
      <w:pPr>
        <w:pStyle w:val="4"/>
        <w:widowControl/>
        <w:shd w:val="clear" w:color="auto" w:fill="F8F8F8"/>
        <w:spacing w:before="100" w:after="100"/>
        <w:ind w:firstLine="640" w:firstLineChars="200"/>
        <w:rPr>
          <w:rFonts w:ascii="仿宋" w:hAnsi="仿宋" w:eastAsia="仿宋" w:cs="仿宋_GB2312"/>
          <w:color w:val="000000"/>
          <w:kern w:val="2"/>
          <w:sz w:val="32"/>
          <w:szCs w:val="32"/>
        </w:rPr>
      </w:pPr>
      <w:r>
        <w:rPr>
          <w:rFonts w:ascii="仿宋" w:hAnsi="仿宋" w:eastAsia="仿宋" w:cs="仿宋_GB2312"/>
          <w:color w:val="000000"/>
          <w:kern w:val="2"/>
          <w:sz w:val="32"/>
          <w:szCs w:val="32"/>
        </w:rPr>
        <w:t>2017年决算收入总数</w:t>
      </w:r>
      <w:r>
        <w:rPr>
          <w:rFonts w:hint="eastAsia" w:ascii="仿宋" w:hAnsi="仿宋" w:eastAsia="仿宋" w:cs="仿宋_GB2312"/>
          <w:color w:val="000000"/>
          <w:kern w:val="2"/>
          <w:sz w:val="32"/>
          <w:szCs w:val="32"/>
          <w:shd w:val="clear" w:color="auto" w:fill="FFFFFF"/>
        </w:rPr>
        <w:t>2007.25</w:t>
      </w:r>
      <w:r>
        <w:rPr>
          <w:rFonts w:ascii="仿宋" w:hAnsi="仿宋" w:eastAsia="仿宋" w:cs="仿宋_GB2312"/>
          <w:color w:val="000000"/>
          <w:kern w:val="2"/>
          <w:sz w:val="32"/>
          <w:szCs w:val="32"/>
        </w:rPr>
        <w:t>万元，较上年</w:t>
      </w:r>
      <w:r>
        <w:rPr>
          <w:rFonts w:hint="eastAsia" w:ascii="仿宋" w:hAnsi="仿宋" w:eastAsia="仿宋" w:cs="仿宋_GB2312"/>
          <w:color w:val="000000"/>
          <w:kern w:val="2"/>
          <w:sz w:val="32"/>
          <w:szCs w:val="32"/>
        </w:rPr>
        <w:t>1397.94</w:t>
      </w:r>
      <w:r>
        <w:rPr>
          <w:rFonts w:ascii="仿宋" w:hAnsi="仿宋" w:eastAsia="仿宋" w:cs="仿宋_GB2312"/>
          <w:color w:val="000000"/>
          <w:kern w:val="2"/>
          <w:sz w:val="32"/>
          <w:szCs w:val="32"/>
        </w:rPr>
        <w:t>万元</w:t>
      </w:r>
      <w:r>
        <w:rPr>
          <w:rFonts w:hint="eastAsia" w:ascii="仿宋" w:hAnsi="仿宋" w:eastAsia="仿宋" w:cs="仿宋_GB2312"/>
          <w:color w:val="000000"/>
          <w:kern w:val="2"/>
          <w:sz w:val="32"/>
          <w:szCs w:val="32"/>
        </w:rPr>
        <w:t>增加</w:t>
      </w:r>
      <w:r>
        <w:rPr>
          <w:rFonts w:hint="eastAsia" w:ascii="仿宋" w:hAnsi="仿宋" w:eastAsia="仿宋" w:cs="仿宋_GB2312"/>
          <w:color w:val="000000"/>
          <w:kern w:val="2"/>
          <w:sz w:val="32"/>
          <w:szCs w:val="32"/>
          <w:shd w:val="clear" w:color="auto" w:fill="FFFFFF"/>
        </w:rPr>
        <w:t>43.59％</w:t>
      </w:r>
      <w:r>
        <w:rPr>
          <w:rFonts w:hint="eastAsia" w:ascii="仿宋" w:hAnsi="仿宋" w:eastAsia="仿宋" w:cs="仿宋_GB2312"/>
          <w:color w:val="000000"/>
          <w:kern w:val="2"/>
          <w:sz w:val="32"/>
          <w:szCs w:val="32"/>
        </w:rPr>
        <w:t>，主要是人员经费和项目经费增加。</w:t>
      </w:r>
      <w:r>
        <w:rPr>
          <w:rFonts w:ascii="仿宋" w:hAnsi="仿宋" w:eastAsia="仿宋" w:cs="仿宋_GB2312"/>
          <w:color w:val="000000"/>
          <w:kern w:val="2"/>
          <w:sz w:val="32"/>
          <w:szCs w:val="32"/>
        </w:rPr>
        <w:t>。</w:t>
      </w:r>
    </w:p>
    <w:p>
      <w:pPr>
        <w:widowControl/>
        <w:numPr>
          <w:ilvl w:val="0"/>
          <w:numId w:val="3"/>
        </w:numPr>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支出决算情况说明</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ascii="Calibri" w:hAnsi="Calibri" w:eastAsia="仿宋" w:cs="Calibri"/>
          <w:color w:val="000000"/>
          <w:sz w:val="32"/>
          <w:szCs w:val="32"/>
          <w:shd w:val="clear" w:color="auto" w:fill="FFFFFF"/>
        </w:rPr>
        <w:t> </w:t>
      </w:r>
      <w:r>
        <w:rPr>
          <w:rFonts w:ascii="仿宋" w:hAnsi="仿宋" w:eastAsia="仿宋" w:cs="仿宋_GB2312"/>
          <w:color w:val="000000"/>
          <w:sz w:val="32"/>
          <w:szCs w:val="32"/>
          <w:shd w:val="clear" w:color="auto" w:fill="FFFFFF"/>
        </w:rPr>
        <w:t>2017年决算支出数</w:t>
      </w:r>
      <w:r>
        <w:rPr>
          <w:rFonts w:hint="eastAsia" w:ascii="仿宋" w:hAnsi="仿宋" w:eastAsia="仿宋" w:cs="仿宋_GB2312"/>
          <w:color w:val="000000"/>
          <w:sz w:val="32"/>
          <w:szCs w:val="32"/>
          <w:shd w:val="clear" w:color="auto" w:fill="FFFFFF"/>
        </w:rPr>
        <w:t>1994.56</w:t>
      </w:r>
      <w:r>
        <w:rPr>
          <w:rFonts w:ascii="仿宋" w:hAnsi="仿宋" w:eastAsia="仿宋" w:cs="仿宋_GB2312"/>
          <w:color w:val="000000"/>
          <w:sz w:val="32"/>
          <w:szCs w:val="32"/>
          <w:shd w:val="clear" w:color="auto" w:fill="FFFFFF"/>
        </w:rPr>
        <w:t>万元，较预算数</w:t>
      </w:r>
      <w:r>
        <w:rPr>
          <w:rFonts w:hint="eastAsia" w:ascii="仿宋" w:hAnsi="仿宋" w:eastAsia="仿宋" w:cs="仿宋_GB2312"/>
          <w:color w:val="000000"/>
          <w:sz w:val="32"/>
          <w:szCs w:val="32"/>
        </w:rPr>
        <w:t>2389.13</w:t>
      </w:r>
      <w:r>
        <w:rPr>
          <w:rFonts w:ascii="仿宋" w:hAnsi="仿宋" w:eastAsia="仿宋" w:cs="仿宋_GB2312"/>
          <w:color w:val="000000"/>
          <w:sz w:val="32"/>
          <w:szCs w:val="32"/>
          <w:shd w:val="clear" w:color="auto" w:fill="FFFFFF"/>
        </w:rPr>
        <w:t>万元</w:t>
      </w:r>
      <w:r>
        <w:rPr>
          <w:rFonts w:hint="eastAsia" w:ascii="仿宋" w:hAnsi="仿宋" w:eastAsia="仿宋" w:cs="仿宋_GB2312"/>
          <w:color w:val="000000"/>
          <w:sz w:val="32"/>
          <w:szCs w:val="32"/>
        </w:rPr>
        <w:t>减少15.98%，主要是预算项目未完成</w:t>
      </w:r>
      <w:r>
        <w:rPr>
          <w:rFonts w:ascii="仿宋" w:hAnsi="仿宋" w:eastAsia="仿宋" w:cs="仿宋_GB2312"/>
          <w:color w:val="000000"/>
          <w:sz w:val="32"/>
          <w:szCs w:val="32"/>
        </w:rPr>
        <w:t>。</w:t>
      </w:r>
      <w:r>
        <w:rPr>
          <w:rFonts w:ascii="仿宋" w:hAnsi="仿宋" w:eastAsia="仿宋" w:cs="仿宋_GB2312"/>
          <w:color w:val="000000"/>
          <w:sz w:val="32"/>
          <w:szCs w:val="32"/>
          <w:shd w:val="clear" w:color="auto" w:fill="FFFFFF"/>
        </w:rPr>
        <w:t>其中基本支出</w:t>
      </w:r>
      <w:r>
        <w:rPr>
          <w:rFonts w:hint="eastAsia" w:ascii="仿宋" w:hAnsi="仿宋" w:eastAsia="仿宋" w:cs="仿宋_GB2312"/>
          <w:color w:val="000000"/>
          <w:sz w:val="32"/>
          <w:szCs w:val="32"/>
          <w:shd w:val="clear" w:color="auto" w:fill="FFFFFF"/>
        </w:rPr>
        <w:t>914.58</w:t>
      </w:r>
      <w:r>
        <w:rPr>
          <w:rFonts w:ascii="仿宋" w:hAnsi="仿宋" w:eastAsia="仿宋" w:cs="仿宋_GB2312"/>
          <w:color w:val="000000"/>
          <w:sz w:val="32"/>
          <w:szCs w:val="32"/>
          <w:shd w:val="clear" w:color="auto" w:fill="FFFFFF"/>
        </w:rPr>
        <w:t>万元，占总支出数的</w:t>
      </w:r>
      <w:r>
        <w:rPr>
          <w:rFonts w:hint="eastAsia" w:ascii="仿宋" w:hAnsi="仿宋" w:eastAsia="仿宋" w:cs="仿宋_GB2312"/>
          <w:color w:val="000000"/>
          <w:sz w:val="32"/>
          <w:szCs w:val="32"/>
          <w:shd w:val="clear" w:color="auto" w:fill="FFFFFF"/>
        </w:rPr>
        <w:t>45.85％</w:t>
      </w:r>
      <w:r>
        <w:rPr>
          <w:rFonts w:ascii="仿宋" w:hAnsi="仿宋" w:eastAsia="仿宋" w:cs="仿宋_GB2312"/>
          <w:color w:val="000000"/>
          <w:sz w:val="32"/>
          <w:szCs w:val="32"/>
          <w:shd w:val="clear" w:color="auto" w:fill="FFFFFF"/>
        </w:rPr>
        <w:t>，项目支出数为</w:t>
      </w:r>
      <w:r>
        <w:rPr>
          <w:rFonts w:hint="eastAsia" w:ascii="仿宋" w:hAnsi="仿宋" w:eastAsia="仿宋" w:cs="仿宋_GB2312"/>
          <w:color w:val="000000"/>
          <w:sz w:val="32"/>
          <w:szCs w:val="32"/>
          <w:shd w:val="clear" w:color="auto" w:fill="FFFFFF"/>
        </w:rPr>
        <w:t>1079.98</w:t>
      </w:r>
      <w:r>
        <w:rPr>
          <w:rFonts w:ascii="仿宋" w:hAnsi="仿宋" w:eastAsia="仿宋" w:cs="仿宋_GB2312"/>
          <w:color w:val="000000"/>
          <w:sz w:val="32"/>
          <w:szCs w:val="32"/>
          <w:shd w:val="clear" w:color="auto" w:fill="FFFFFF"/>
        </w:rPr>
        <w:t>万元，占总支出数的</w:t>
      </w:r>
      <w:r>
        <w:rPr>
          <w:rFonts w:hint="eastAsia" w:ascii="仿宋" w:hAnsi="仿宋" w:eastAsia="仿宋" w:cs="仿宋_GB2312"/>
          <w:color w:val="000000"/>
          <w:sz w:val="32"/>
          <w:szCs w:val="32"/>
          <w:shd w:val="clear" w:color="auto" w:fill="FFFFFF"/>
        </w:rPr>
        <w:t>54.15％</w:t>
      </w:r>
      <w:r>
        <w:rPr>
          <w:rFonts w:ascii="仿宋" w:hAnsi="仿宋" w:eastAsia="仿宋" w:cs="仿宋_GB2312"/>
          <w:color w:val="000000"/>
          <w:sz w:val="32"/>
          <w:szCs w:val="32"/>
          <w:shd w:val="clear" w:color="auto" w:fill="FFFFFF"/>
        </w:rPr>
        <w:t>。</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rPr>
      </w:pPr>
      <w:r>
        <w:rPr>
          <w:rFonts w:ascii="Calibri" w:hAnsi="Calibri" w:eastAsia="仿宋" w:cs="Calibri"/>
          <w:color w:val="000000"/>
          <w:sz w:val="32"/>
          <w:szCs w:val="32"/>
          <w:shd w:val="clear" w:color="auto" w:fill="FFFFFF"/>
        </w:rPr>
        <w:t> </w:t>
      </w:r>
      <w:r>
        <w:rPr>
          <w:rFonts w:ascii="仿宋" w:hAnsi="仿宋" w:eastAsia="仿宋" w:cs="仿宋_GB2312"/>
          <w:color w:val="000000"/>
          <w:sz w:val="32"/>
          <w:szCs w:val="32"/>
          <w:shd w:val="clear" w:color="auto" w:fill="FFFFFF"/>
        </w:rPr>
        <w:t>2017年决算支出数</w:t>
      </w:r>
      <w:r>
        <w:rPr>
          <w:rFonts w:hint="eastAsia" w:ascii="仿宋" w:hAnsi="仿宋" w:eastAsia="仿宋" w:cs="仿宋_GB2312"/>
          <w:color w:val="000000"/>
          <w:sz w:val="32"/>
          <w:szCs w:val="32"/>
          <w:shd w:val="clear" w:color="auto" w:fill="FFFFFF"/>
        </w:rPr>
        <w:t>1994.56</w:t>
      </w:r>
      <w:r>
        <w:rPr>
          <w:rFonts w:ascii="仿宋" w:hAnsi="仿宋" w:eastAsia="仿宋" w:cs="仿宋_GB2312"/>
          <w:color w:val="000000"/>
          <w:sz w:val="32"/>
          <w:szCs w:val="32"/>
          <w:shd w:val="clear" w:color="auto" w:fill="FFFFFF"/>
        </w:rPr>
        <w:t>万元，较预算数</w:t>
      </w:r>
      <w:r>
        <w:rPr>
          <w:rFonts w:hint="eastAsia" w:ascii="仿宋" w:hAnsi="仿宋" w:eastAsia="仿宋" w:cs="仿宋_GB2312"/>
          <w:color w:val="000000"/>
          <w:sz w:val="32"/>
          <w:szCs w:val="32"/>
        </w:rPr>
        <w:t>2389.13</w:t>
      </w:r>
      <w:r>
        <w:rPr>
          <w:rFonts w:ascii="仿宋" w:hAnsi="仿宋" w:eastAsia="仿宋" w:cs="仿宋_GB2312"/>
          <w:color w:val="000000"/>
          <w:sz w:val="32"/>
          <w:szCs w:val="32"/>
          <w:shd w:val="clear" w:color="auto" w:fill="FFFFFF"/>
        </w:rPr>
        <w:t>万元</w:t>
      </w:r>
      <w:r>
        <w:rPr>
          <w:rFonts w:hint="eastAsia" w:ascii="仿宋" w:hAnsi="仿宋" w:eastAsia="仿宋" w:cs="仿宋_GB2312"/>
          <w:color w:val="000000"/>
          <w:sz w:val="32"/>
          <w:szCs w:val="32"/>
        </w:rPr>
        <w:t>减少15.98%，主要是预算项目未完成</w:t>
      </w:r>
      <w:r>
        <w:rPr>
          <w:rFonts w:ascii="仿宋" w:hAnsi="仿宋" w:eastAsia="仿宋" w:cs="仿宋_GB2312"/>
          <w:color w:val="000000"/>
          <w:sz w:val="32"/>
          <w:szCs w:val="32"/>
        </w:rPr>
        <w:t>。</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总支出决算为1994.56万元，支出决算按照功能分类情况：一般公共服务支出961.35万元，文化体育与传媒支出0.99万元，社会保障和就业支出17.47万元，医疗卫生和计划生育支出20.87万元，节能环保支出22.4万元，城乡社区支出458.51万元，农林水支出510.97万元，资源勘探信息等支出2万元。按照支出性质情况：基本支出914.58万元，项目支出1079.98万元。</w:t>
      </w:r>
    </w:p>
    <w:p>
      <w:pPr>
        <w:widowControl/>
        <w:numPr>
          <w:ilvl w:val="0"/>
          <w:numId w:val="3"/>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财政拨款收入支出总体情况说明</w:t>
      </w:r>
    </w:p>
    <w:p>
      <w:pPr>
        <w:pStyle w:val="12"/>
        <w:widowControl/>
        <w:numPr>
          <w:ilvl w:val="0"/>
          <w:numId w:val="4"/>
        </w:numPr>
        <w:adjustRightInd w:val="0"/>
        <w:snapToGrid w:val="0"/>
        <w:spacing w:before="100" w:beforeAutospacing="1" w:after="100" w:afterAutospacing="1"/>
        <w:ind w:left="0"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收入支出预算安排情况</w:t>
      </w:r>
    </w:p>
    <w:p>
      <w:pPr>
        <w:pStyle w:val="12"/>
        <w:widowControl/>
        <w:adjustRightInd w:val="0"/>
        <w:snapToGrid w:val="0"/>
        <w:spacing w:before="100" w:beforeAutospacing="1" w:after="100" w:afterAutospacing="1"/>
        <w:ind w:firstLine="64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财政拨款收入预算安排为2389.13万元，财政拨款预算支出2389.13万元，其中：基本支出1092.23万元，项目支出1296.9万元。2017年度财政拨款预算安排支出增加了991.19万元，增幅为70.9%，主要是人员经费和项目经费增加。</w:t>
      </w:r>
    </w:p>
    <w:p>
      <w:pPr>
        <w:widowControl/>
        <w:numPr>
          <w:ilvl w:val="0"/>
          <w:numId w:val="5"/>
        </w:numPr>
        <w:adjustRightInd w:val="0"/>
        <w:snapToGrid w:val="0"/>
        <w:spacing w:before="100" w:beforeAutospacing="1" w:after="100" w:afterAutospacing="1"/>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收入支出预算执行情况</w:t>
      </w:r>
    </w:p>
    <w:p>
      <w:pPr>
        <w:pStyle w:val="4"/>
        <w:widowControl/>
        <w:numPr>
          <w:ilvl w:val="0"/>
          <w:numId w:val="6"/>
        </w:numPr>
        <w:shd w:val="clear" w:color="auto" w:fill="F8F8F8"/>
        <w:spacing w:before="100" w:after="100"/>
        <w:ind w:left="0" w:firstLine="640" w:firstLineChars="200"/>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收入支出与预算的对比分析</w:t>
      </w:r>
    </w:p>
    <w:p>
      <w:pPr>
        <w:pStyle w:val="12"/>
        <w:widowControl/>
        <w:adjustRightInd w:val="0"/>
        <w:snapToGrid w:val="0"/>
        <w:spacing w:before="100" w:beforeAutospacing="1" w:after="100" w:afterAutospacing="1"/>
        <w:ind w:firstLine="64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2017年度财政拨款收入决算安排为1046.7142万元，年初预算财政拨款收入为960.74万元，增加了81万元，增幅为8.5%。</w:t>
      </w:r>
      <w:r>
        <w:rPr>
          <w:rFonts w:ascii="仿宋" w:hAnsi="仿宋" w:eastAsia="仿宋" w:cs="仿宋_GB2312"/>
          <w:color w:val="000000"/>
          <w:sz w:val="32"/>
          <w:szCs w:val="32"/>
          <w:shd w:val="clear" w:color="auto" w:fill="FFFFFF"/>
        </w:rPr>
        <w:t>2017年</w:t>
      </w:r>
      <w:r>
        <w:rPr>
          <w:rFonts w:hint="eastAsia" w:ascii="仿宋" w:hAnsi="仿宋" w:eastAsia="仿宋" w:cs="仿宋_GB2312"/>
          <w:color w:val="000000"/>
          <w:sz w:val="32"/>
          <w:szCs w:val="32"/>
          <w:shd w:val="clear" w:color="auto" w:fill="FFFFFF"/>
        </w:rPr>
        <w:t>财政拨款收入决算</w:t>
      </w:r>
      <w:r>
        <w:rPr>
          <w:rFonts w:ascii="仿宋" w:hAnsi="仿宋" w:eastAsia="仿宋" w:cs="仿宋_GB2312"/>
          <w:color w:val="000000"/>
          <w:sz w:val="32"/>
          <w:szCs w:val="32"/>
          <w:shd w:val="clear" w:color="auto" w:fill="FFFFFF"/>
        </w:rPr>
        <w:t>总数</w:t>
      </w:r>
      <w:r>
        <w:rPr>
          <w:rFonts w:hint="eastAsia" w:ascii="仿宋" w:hAnsi="仿宋" w:eastAsia="仿宋" w:cs="仿宋_GB2312"/>
          <w:color w:val="000000"/>
          <w:sz w:val="32"/>
          <w:szCs w:val="32"/>
          <w:shd w:val="clear" w:color="auto" w:fill="FFFFFF"/>
        </w:rPr>
        <w:t>1046.7142</w:t>
      </w:r>
      <w:r>
        <w:rPr>
          <w:rFonts w:ascii="仿宋" w:hAnsi="仿宋" w:eastAsia="仿宋" w:cs="仿宋_GB2312"/>
          <w:color w:val="000000"/>
          <w:sz w:val="32"/>
          <w:szCs w:val="32"/>
          <w:shd w:val="clear" w:color="auto" w:fill="FFFFFF"/>
        </w:rPr>
        <w:t>万元，较上年</w:t>
      </w:r>
      <w:r>
        <w:rPr>
          <w:rFonts w:hint="eastAsia" w:ascii="仿宋" w:hAnsi="仿宋" w:eastAsia="仿宋" w:cs="仿宋_GB2312"/>
          <w:color w:val="000000"/>
          <w:sz w:val="32"/>
          <w:szCs w:val="32"/>
          <w:shd w:val="clear" w:color="auto" w:fill="FFFFFF"/>
        </w:rPr>
        <w:t>647.6</w:t>
      </w:r>
      <w:r>
        <w:rPr>
          <w:rFonts w:ascii="仿宋" w:hAnsi="仿宋" w:eastAsia="仿宋" w:cs="仿宋_GB2312"/>
          <w:color w:val="000000"/>
          <w:sz w:val="32"/>
          <w:szCs w:val="32"/>
          <w:shd w:val="clear" w:color="auto" w:fill="FFFFFF"/>
        </w:rPr>
        <w:t>万元</w:t>
      </w:r>
      <w:r>
        <w:rPr>
          <w:rFonts w:hint="eastAsia" w:ascii="仿宋" w:hAnsi="仿宋" w:eastAsia="仿宋" w:cs="仿宋_GB2312"/>
          <w:color w:val="000000"/>
          <w:sz w:val="32"/>
          <w:szCs w:val="32"/>
          <w:shd w:val="clear" w:color="auto" w:fill="FFFFFF"/>
        </w:rPr>
        <w:t>增加61.6％。。</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ascii="Calibri" w:hAnsi="Calibri" w:eastAsia="仿宋" w:cs="Calibri"/>
          <w:color w:val="000000"/>
          <w:kern w:val="2"/>
          <w:sz w:val="32"/>
          <w:szCs w:val="32"/>
          <w:shd w:val="clear" w:color="auto" w:fill="FFFFFF"/>
        </w:rPr>
        <w:t> </w:t>
      </w:r>
      <w:r>
        <w:rPr>
          <w:rFonts w:ascii="仿宋" w:hAnsi="仿宋" w:eastAsia="仿宋" w:cs="仿宋_GB2312"/>
          <w:color w:val="000000"/>
          <w:kern w:val="2"/>
          <w:sz w:val="32"/>
          <w:szCs w:val="32"/>
          <w:shd w:val="clear" w:color="auto" w:fill="FFFFFF"/>
        </w:rPr>
        <w:t>2017年决算支出数</w:t>
      </w:r>
      <w:r>
        <w:rPr>
          <w:rFonts w:hint="eastAsia" w:ascii="仿宋" w:hAnsi="仿宋" w:eastAsia="仿宋" w:cs="仿宋_GB2312"/>
          <w:color w:val="000000"/>
          <w:kern w:val="2"/>
          <w:sz w:val="32"/>
          <w:szCs w:val="32"/>
          <w:shd w:val="clear" w:color="auto" w:fill="FFFFFF"/>
        </w:rPr>
        <w:t>2007.25</w:t>
      </w:r>
      <w:r>
        <w:rPr>
          <w:rFonts w:ascii="仿宋" w:hAnsi="仿宋" w:eastAsia="仿宋" w:cs="仿宋_GB2312"/>
          <w:color w:val="000000"/>
          <w:kern w:val="2"/>
          <w:sz w:val="32"/>
          <w:szCs w:val="32"/>
          <w:shd w:val="clear" w:color="auto" w:fill="FFFFFF"/>
        </w:rPr>
        <w:t>万元，其中基本支出</w:t>
      </w:r>
      <w:r>
        <w:rPr>
          <w:rFonts w:hint="eastAsia" w:ascii="仿宋" w:hAnsi="仿宋" w:eastAsia="仿宋" w:cs="仿宋_GB2312"/>
          <w:color w:val="000000"/>
          <w:kern w:val="2"/>
          <w:sz w:val="32"/>
          <w:szCs w:val="32"/>
          <w:shd w:val="clear" w:color="auto" w:fill="FFFFFF"/>
        </w:rPr>
        <w:t>914.58</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32.58％</w:t>
      </w:r>
      <w:r>
        <w:rPr>
          <w:rFonts w:ascii="仿宋" w:hAnsi="仿宋" w:eastAsia="仿宋" w:cs="仿宋_GB2312"/>
          <w:color w:val="000000"/>
          <w:kern w:val="2"/>
          <w:sz w:val="32"/>
          <w:szCs w:val="32"/>
          <w:shd w:val="clear" w:color="auto" w:fill="FFFFFF"/>
        </w:rPr>
        <w:t>，项目支出数为</w:t>
      </w:r>
      <w:r>
        <w:rPr>
          <w:rFonts w:hint="eastAsia" w:ascii="仿宋" w:hAnsi="仿宋" w:eastAsia="仿宋" w:cs="仿宋_GB2312"/>
          <w:color w:val="000000"/>
          <w:kern w:val="2"/>
          <w:sz w:val="32"/>
          <w:szCs w:val="32"/>
          <w:shd w:val="clear" w:color="auto" w:fill="FFFFFF"/>
        </w:rPr>
        <w:t>702.6</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67.42％</w:t>
      </w:r>
      <w:r>
        <w:rPr>
          <w:rFonts w:ascii="仿宋" w:hAnsi="仿宋" w:eastAsia="仿宋" w:cs="仿宋_GB2312"/>
          <w:color w:val="000000"/>
          <w:kern w:val="2"/>
          <w:sz w:val="32"/>
          <w:szCs w:val="32"/>
          <w:shd w:val="clear" w:color="auto" w:fill="FFFFFF"/>
        </w:rPr>
        <w:t>。</w:t>
      </w:r>
    </w:p>
    <w:p>
      <w:pPr>
        <w:widowControl/>
        <w:adjustRightInd w:val="0"/>
        <w:snapToGrid w:val="0"/>
        <w:spacing w:before="100" w:beforeAutospacing="1" w:after="100" w:afterAutospacing="1"/>
        <w:ind w:firstLine="640" w:firstLineChars="20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2017年度总支出决算为1994.56万元，支出决算按照功能分类情况：一般公共服务支出961.35万元，文化体育与传媒支出0.99万元，社会保障和就业支出17.47万元，医疗卫生和计划生育支出20.87万元，节能环保支出22.4万元，城乡社区支出458.51万元，农林水支出510.97万元，资源勘探信息等支出2万元。按照支出性质情况：基本支出914.58万元，项目支出1079.98万元。按照经济分类情况：工资福利支出424.83万元，商品和服务支出503.82万元，对个人和家庭的补助支出440.01万元，其他资本性支出625.9万元。</w:t>
      </w:r>
    </w:p>
    <w:p>
      <w:pPr>
        <w:pStyle w:val="12"/>
        <w:widowControl/>
        <w:numPr>
          <w:ilvl w:val="0"/>
          <w:numId w:val="6"/>
        </w:numPr>
        <w:adjustRightInd w:val="0"/>
        <w:snapToGrid w:val="0"/>
        <w:spacing w:before="100" w:beforeAutospacing="1" w:after="100" w:afterAutospacing="1"/>
        <w:ind w:left="0" w:firstLine="640"/>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收入支出结构分析</w:t>
      </w:r>
    </w:p>
    <w:p>
      <w:pPr>
        <w:pStyle w:val="4"/>
        <w:widowControl/>
        <w:shd w:val="clear" w:color="auto" w:fill="F8F8F8"/>
        <w:spacing w:before="100" w:after="100"/>
        <w:ind w:firstLine="640" w:firstLineChars="200"/>
        <w:rPr>
          <w:rFonts w:ascii="仿宋" w:hAnsi="仿宋" w:eastAsia="仿宋" w:cs="仿宋_GB2312"/>
          <w:color w:val="000000"/>
          <w:kern w:val="2"/>
          <w:sz w:val="32"/>
          <w:szCs w:val="32"/>
        </w:rPr>
      </w:pPr>
      <w:r>
        <w:rPr>
          <w:rFonts w:hint="eastAsia" w:ascii="仿宋" w:hAnsi="仿宋" w:eastAsia="仿宋" w:cs="仿宋_GB2312"/>
          <w:color w:val="000000"/>
          <w:sz w:val="32"/>
          <w:szCs w:val="32"/>
          <w:highlight w:val="yellow"/>
          <w:shd w:val="clear" w:color="auto" w:fill="FFFFFF"/>
        </w:rPr>
        <w:t>（1）</w:t>
      </w:r>
      <w:r>
        <w:rPr>
          <w:rFonts w:ascii="仿宋" w:hAnsi="仿宋" w:eastAsia="仿宋" w:cs="新宋体"/>
          <w:color w:val="000000"/>
          <w:kern w:val="2"/>
          <w:sz w:val="32"/>
          <w:szCs w:val="32"/>
          <w:highlight w:val="yellow"/>
          <w:shd w:val="clear" w:color="auto" w:fill="FFFFFF"/>
        </w:rPr>
        <w:t>2017</w:t>
      </w:r>
      <w:r>
        <w:rPr>
          <w:rFonts w:ascii="仿宋" w:hAnsi="仿宋" w:eastAsia="仿宋" w:cs="新宋体"/>
          <w:color w:val="000000"/>
          <w:kern w:val="2"/>
          <w:sz w:val="32"/>
          <w:szCs w:val="32"/>
          <w:shd w:val="clear" w:color="auto" w:fill="FFFFFF"/>
        </w:rPr>
        <w:t>年决算收入数</w:t>
      </w:r>
      <w:r>
        <w:rPr>
          <w:rFonts w:hint="eastAsia" w:ascii="仿宋" w:hAnsi="仿宋" w:eastAsia="仿宋" w:cs="仿宋_GB2312"/>
          <w:color w:val="000000"/>
          <w:kern w:val="2"/>
          <w:sz w:val="32"/>
          <w:szCs w:val="32"/>
          <w:shd w:val="clear" w:color="auto" w:fill="FFFFFF"/>
        </w:rPr>
        <w:t>2007.25</w:t>
      </w:r>
      <w:r>
        <w:rPr>
          <w:rFonts w:ascii="仿宋" w:hAnsi="仿宋" w:eastAsia="仿宋" w:cs="新宋体"/>
          <w:color w:val="000000"/>
          <w:kern w:val="2"/>
          <w:sz w:val="32"/>
          <w:szCs w:val="32"/>
          <w:shd w:val="clear" w:color="auto" w:fill="FFFFFF"/>
        </w:rPr>
        <w:t>万元，其中财政拨款数</w:t>
      </w:r>
      <w:r>
        <w:rPr>
          <w:rFonts w:hint="eastAsia" w:ascii="仿宋" w:hAnsi="仿宋" w:eastAsia="仿宋" w:cs="新宋体"/>
          <w:color w:val="000000"/>
          <w:kern w:val="2"/>
          <w:sz w:val="32"/>
          <w:szCs w:val="32"/>
          <w:shd w:val="clear" w:color="auto" w:fill="FFFFFF"/>
        </w:rPr>
        <w:t>2007.25</w:t>
      </w:r>
      <w:r>
        <w:rPr>
          <w:rFonts w:ascii="仿宋" w:hAnsi="仿宋" w:eastAsia="仿宋" w:cs="新宋体"/>
          <w:color w:val="000000"/>
          <w:kern w:val="2"/>
          <w:sz w:val="32"/>
          <w:szCs w:val="32"/>
          <w:shd w:val="clear" w:color="auto" w:fill="FFFFFF"/>
        </w:rPr>
        <w:t>万元，占总收入的</w:t>
      </w:r>
      <w:r>
        <w:rPr>
          <w:rFonts w:hint="eastAsia" w:ascii="仿宋" w:hAnsi="仿宋" w:eastAsia="仿宋" w:cs="新宋体"/>
          <w:color w:val="000000"/>
          <w:kern w:val="2"/>
          <w:sz w:val="32"/>
          <w:szCs w:val="32"/>
          <w:shd w:val="clear" w:color="auto" w:fill="FFFFFF"/>
        </w:rPr>
        <w:t>100％</w:t>
      </w:r>
      <w:r>
        <w:rPr>
          <w:rFonts w:ascii="仿宋" w:hAnsi="仿宋" w:eastAsia="仿宋" w:cs="新宋体"/>
          <w:color w:val="000000"/>
          <w:kern w:val="2"/>
          <w:sz w:val="32"/>
          <w:szCs w:val="32"/>
          <w:shd w:val="clear" w:color="auto" w:fill="FFFFFF"/>
        </w:rPr>
        <w:t>。</w:t>
      </w:r>
      <w:r>
        <w:rPr>
          <w:rFonts w:ascii="仿宋" w:hAnsi="仿宋" w:eastAsia="仿宋" w:cs="仿宋_GB2312"/>
          <w:color w:val="000000"/>
          <w:kern w:val="2"/>
          <w:sz w:val="32"/>
          <w:szCs w:val="32"/>
        </w:rPr>
        <w:t>较上年</w:t>
      </w:r>
      <w:r>
        <w:rPr>
          <w:rFonts w:hint="eastAsia" w:ascii="仿宋" w:hAnsi="仿宋" w:eastAsia="仿宋" w:cs="仿宋_GB2312"/>
          <w:color w:val="000000"/>
          <w:kern w:val="2"/>
          <w:sz w:val="32"/>
          <w:szCs w:val="32"/>
        </w:rPr>
        <w:t>1397.94</w:t>
      </w:r>
      <w:r>
        <w:rPr>
          <w:rFonts w:ascii="仿宋" w:hAnsi="仿宋" w:eastAsia="仿宋" w:cs="仿宋_GB2312"/>
          <w:color w:val="000000"/>
          <w:kern w:val="2"/>
          <w:sz w:val="32"/>
          <w:szCs w:val="32"/>
        </w:rPr>
        <w:t>万元</w:t>
      </w:r>
      <w:r>
        <w:rPr>
          <w:rFonts w:hint="eastAsia" w:ascii="仿宋" w:hAnsi="仿宋" w:eastAsia="仿宋" w:cs="仿宋_GB2312"/>
          <w:color w:val="000000"/>
          <w:kern w:val="2"/>
          <w:sz w:val="32"/>
          <w:szCs w:val="32"/>
        </w:rPr>
        <w:t>增加</w:t>
      </w:r>
      <w:r>
        <w:rPr>
          <w:rFonts w:hint="eastAsia" w:ascii="仿宋" w:hAnsi="仿宋" w:eastAsia="仿宋" w:cs="仿宋_GB2312"/>
          <w:color w:val="000000"/>
          <w:kern w:val="2"/>
          <w:sz w:val="32"/>
          <w:szCs w:val="32"/>
          <w:shd w:val="clear" w:color="auto" w:fill="FFFFFF"/>
        </w:rPr>
        <w:t>43.59％</w:t>
      </w:r>
      <w:r>
        <w:rPr>
          <w:rFonts w:hint="eastAsia" w:ascii="仿宋" w:hAnsi="仿宋" w:eastAsia="仿宋" w:cs="仿宋_GB2312"/>
          <w:color w:val="000000"/>
          <w:kern w:val="2"/>
          <w:sz w:val="32"/>
          <w:szCs w:val="32"/>
        </w:rPr>
        <w:t>，主要是人员经费和项目经费增加。</w:t>
      </w:r>
    </w:p>
    <w:p>
      <w:pPr>
        <w:pStyle w:val="4"/>
        <w:widowControl/>
        <w:shd w:val="clear" w:color="auto" w:fill="F8F8F8"/>
        <w:spacing w:before="100" w:after="100"/>
        <w:ind w:firstLine="640" w:firstLineChars="200"/>
        <w:rPr>
          <w:rFonts w:ascii="仿宋" w:hAnsi="仿宋" w:eastAsia="仿宋" w:cs="仿宋_GB2312"/>
          <w:color w:val="000000"/>
          <w:kern w:val="2"/>
          <w:sz w:val="32"/>
          <w:szCs w:val="32"/>
          <w:shd w:val="clear" w:color="auto" w:fill="FFFFFF"/>
        </w:rPr>
      </w:pPr>
      <w:r>
        <w:rPr>
          <w:rFonts w:hint="eastAsia" w:ascii="仿宋" w:hAnsi="仿宋" w:eastAsia="仿宋" w:cs="新宋体"/>
          <w:color w:val="000000"/>
          <w:kern w:val="2"/>
          <w:sz w:val="32"/>
          <w:szCs w:val="32"/>
          <w:shd w:val="clear" w:color="auto" w:fill="FFFFFF"/>
        </w:rPr>
        <w:t>（2）</w:t>
      </w:r>
      <w:r>
        <w:rPr>
          <w:rFonts w:ascii="仿宋" w:hAnsi="仿宋" w:eastAsia="仿宋" w:cs="新宋体"/>
          <w:color w:val="000000"/>
          <w:kern w:val="2"/>
          <w:sz w:val="32"/>
          <w:szCs w:val="32"/>
          <w:shd w:val="clear" w:color="auto" w:fill="FFFFFF"/>
        </w:rPr>
        <w:t>2017年决算支出数</w:t>
      </w:r>
      <w:r>
        <w:rPr>
          <w:rFonts w:hint="eastAsia" w:ascii="仿宋" w:hAnsi="仿宋" w:eastAsia="仿宋" w:cs="仿宋_GB2312"/>
          <w:color w:val="000000"/>
          <w:kern w:val="2"/>
          <w:sz w:val="32"/>
          <w:szCs w:val="32"/>
          <w:shd w:val="clear" w:color="auto" w:fill="FFFFFF"/>
        </w:rPr>
        <w:t>2007.25</w:t>
      </w:r>
      <w:r>
        <w:rPr>
          <w:rFonts w:ascii="仿宋" w:hAnsi="仿宋" w:eastAsia="仿宋" w:cs="仿宋_GB2312"/>
          <w:color w:val="000000"/>
          <w:kern w:val="2"/>
          <w:sz w:val="32"/>
          <w:szCs w:val="32"/>
          <w:shd w:val="clear" w:color="auto" w:fill="FFFFFF"/>
        </w:rPr>
        <w:t>万元，其中基本支出</w:t>
      </w:r>
      <w:r>
        <w:rPr>
          <w:rFonts w:hint="eastAsia" w:ascii="仿宋" w:hAnsi="仿宋" w:eastAsia="仿宋" w:cs="仿宋_GB2312"/>
          <w:color w:val="000000"/>
          <w:kern w:val="2"/>
          <w:sz w:val="32"/>
          <w:szCs w:val="32"/>
          <w:shd w:val="clear" w:color="auto" w:fill="FFFFFF"/>
        </w:rPr>
        <w:t>914.58</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32.58％</w:t>
      </w:r>
      <w:r>
        <w:rPr>
          <w:rFonts w:ascii="仿宋" w:hAnsi="仿宋" w:eastAsia="仿宋" w:cs="仿宋_GB2312"/>
          <w:color w:val="000000"/>
          <w:kern w:val="2"/>
          <w:sz w:val="32"/>
          <w:szCs w:val="32"/>
          <w:shd w:val="clear" w:color="auto" w:fill="FFFFFF"/>
        </w:rPr>
        <w:t>，项目支出数为</w:t>
      </w:r>
      <w:r>
        <w:rPr>
          <w:rFonts w:hint="eastAsia" w:ascii="仿宋" w:hAnsi="仿宋" w:eastAsia="仿宋" w:cs="仿宋_GB2312"/>
          <w:color w:val="000000"/>
          <w:kern w:val="2"/>
          <w:sz w:val="32"/>
          <w:szCs w:val="32"/>
          <w:shd w:val="clear" w:color="auto" w:fill="FFFFFF"/>
        </w:rPr>
        <w:t>702.6</w:t>
      </w:r>
      <w:r>
        <w:rPr>
          <w:rFonts w:ascii="仿宋" w:hAnsi="仿宋" w:eastAsia="仿宋" w:cs="仿宋_GB2312"/>
          <w:color w:val="000000"/>
          <w:kern w:val="2"/>
          <w:sz w:val="32"/>
          <w:szCs w:val="32"/>
          <w:shd w:val="clear" w:color="auto" w:fill="FFFFFF"/>
        </w:rPr>
        <w:t>万元，占总支出数的</w:t>
      </w:r>
      <w:r>
        <w:rPr>
          <w:rFonts w:hint="eastAsia" w:ascii="仿宋" w:hAnsi="仿宋" w:eastAsia="仿宋" w:cs="仿宋_GB2312"/>
          <w:color w:val="000000"/>
          <w:kern w:val="2"/>
          <w:sz w:val="32"/>
          <w:szCs w:val="32"/>
          <w:shd w:val="clear" w:color="auto" w:fill="FFFFFF"/>
        </w:rPr>
        <w:t>67.42％</w:t>
      </w:r>
      <w:r>
        <w:rPr>
          <w:rFonts w:ascii="仿宋" w:hAnsi="仿宋" w:eastAsia="仿宋" w:cs="仿宋_GB2312"/>
          <w:color w:val="000000"/>
          <w:kern w:val="2"/>
          <w:sz w:val="32"/>
          <w:szCs w:val="32"/>
          <w:shd w:val="clear" w:color="auto" w:fill="FFFFFF"/>
        </w:rPr>
        <w:t>。</w:t>
      </w:r>
    </w:p>
    <w:p>
      <w:pPr>
        <w:pStyle w:val="4"/>
        <w:widowControl/>
        <w:shd w:val="clear" w:color="auto" w:fill="F8F8F8"/>
        <w:spacing w:before="100" w:after="100"/>
        <w:ind w:firstLine="640" w:firstLineChars="200"/>
        <w:rPr>
          <w:rFonts w:ascii="仿宋" w:hAnsi="仿宋" w:eastAsia="仿宋" w:cs="新宋体"/>
          <w:color w:val="000000"/>
          <w:kern w:val="2"/>
          <w:sz w:val="32"/>
          <w:szCs w:val="32"/>
          <w:shd w:val="clear" w:color="auto" w:fill="FFFFFF"/>
        </w:rPr>
      </w:pPr>
      <w:r>
        <w:rPr>
          <w:rFonts w:hint="eastAsia" w:ascii="仿宋" w:hAnsi="仿宋" w:eastAsia="仿宋" w:cs="新宋体"/>
          <w:color w:val="000000"/>
          <w:kern w:val="2"/>
          <w:sz w:val="32"/>
          <w:szCs w:val="32"/>
          <w:shd w:val="clear" w:color="auto" w:fill="FFFFFF"/>
        </w:rPr>
        <w:t>（3）</w:t>
      </w:r>
      <w:r>
        <w:rPr>
          <w:rFonts w:ascii="仿宋" w:hAnsi="仿宋" w:eastAsia="仿宋" w:cs="新宋体"/>
          <w:color w:val="000000"/>
          <w:kern w:val="2"/>
          <w:sz w:val="32"/>
          <w:szCs w:val="32"/>
          <w:shd w:val="clear" w:color="auto" w:fill="FFFFFF"/>
        </w:rPr>
        <w:t>2017年决算结余资金为</w:t>
      </w:r>
      <w:r>
        <w:rPr>
          <w:rFonts w:hint="eastAsia" w:ascii="仿宋" w:hAnsi="仿宋" w:eastAsia="仿宋" w:cs="新宋体"/>
          <w:color w:val="000000"/>
          <w:kern w:val="2"/>
          <w:sz w:val="32"/>
          <w:szCs w:val="32"/>
          <w:shd w:val="clear" w:color="auto" w:fill="FFFFFF"/>
        </w:rPr>
        <w:t>42.19万元</w:t>
      </w:r>
      <w:r>
        <w:rPr>
          <w:rFonts w:ascii="仿宋" w:hAnsi="仿宋" w:eastAsia="仿宋" w:cs="新宋体"/>
          <w:color w:val="000000"/>
          <w:kern w:val="2"/>
          <w:sz w:val="32"/>
          <w:szCs w:val="32"/>
          <w:shd w:val="clear" w:color="auto" w:fill="FFFFFF"/>
        </w:rPr>
        <w:t>。</w:t>
      </w:r>
      <w:r>
        <w:rPr>
          <w:rFonts w:hint="eastAsia" w:ascii="仿宋" w:hAnsi="仿宋" w:eastAsia="仿宋" w:cs="新宋体"/>
          <w:color w:val="000000"/>
          <w:kern w:val="2"/>
          <w:sz w:val="32"/>
          <w:szCs w:val="32"/>
          <w:shd w:val="clear" w:color="auto" w:fill="FFFFFF"/>
        </w:rPr>
        <w:t>上年度不存在结余，主要是村干部工资的剩余。</w:t>
      </w:r>
    </w:p>
    <w:p>
      <w:pPr>
        <w:widowControl/>
        <w:numPr>
          <w:ilvl w:val="0"/>
          <w:numId w:val="7"/>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“三公”经费支出决算情况</w:t>
      </w:r>
    </w:p>
    <w:p>
      <w:pPr>
        <w:widowControl/>
        <w:numPr>
          <w:ilvl w:val="0"/>
          <w:numId w:val="8"/>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“三公”经费与上年度对比分析</w:t>
      </w:r>
    </w:p>
    <w:p>
      <w:pPr>
        <w:widowControl/>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w:t>
      </w:r>
      <w:r>
        <w:rPr>
          <w:rFonts w:hint="eastAsia" w:ascii="仿宋" w:hAnsi="仿宋" w:eastAsia="仿宋" w:cs="新宋体"/>
          <w:color w:val="000000"/>
          <w:sz w:val="28"/>
          <w:szCs w:val="28"/>
          <w:shd w:val="clear" w:color="auto" w:fill="FFFFFF"/>
        </w:rPr>
        <w:t>金额单位：万元</w:t>
      </w:r>
    </w:p>
    <w:tbl>
      <w:tblPr>
        <w:tblStyle w:val="9"/>
        <w:tblW w:w="918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01"/>
        <w:gridCol w:w="1701"/>
        <w:gridCol w:w="173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名称</w:t>
            </w:r>
          </w:p>
        </w:tc>
        <w:tc>
          <w:tcPr>
            <w:tcW w:w="1701"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2016年</w:t>
            </w:r>
          </w:p>
        </w:tc>
        <w:tc>
          <w:tcPr>
            <w:tcW w:w="1701"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2017年</w:t>
            </w:r>
          </w:p>
        </w:tc>
        <w:tc>
          <w:tcPr>
            <w:tcW w:w="1738"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增减额</w:t>
            </w:r>
          </w:p>
        </w:tc>
        <w:tc>
          <w:tcPr>
            <w:tcW w:w="1664" w:type="dxa"/>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因公出国（境）费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9.4</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4.89</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-4.51</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其中：公务用车购置费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9.4</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4.89</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-4.51</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公务接待费</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10.1</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5.22</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-4.88</w:t>
            </w: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3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合计</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19.5</w:t>
            </w:r>
          </w:p>
        </w:tc>
        <w:tc>
          <w:tcPr>
            <w:tcW w:w="1701"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10.11</w:t>
            </w:r>
          </w:p>
        </w:tc>
        <w:tc>
          <w:tcPr>
            <w:tcW w:w="1738"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664" w:type="dxa"/>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r>
    </w:tbl>
    <w:p>
      <w:pPr>
        <w:widowControl/>
        <w:adjustRightInd w:val="0"/>
        <w:spacing w:before="100" w:beforeAutospacing="1" w:after="100" w:afterAutospacing="1"/>
        <w:ind w:firstLine="640" w:firstLineChars="200"/>
        <w:contextualSpacing/>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根据工作需要，</w:t>
      </w:r>
      <w:r>
        <w:rPr>
          <w:rFonts w:hint="eastAsia" w:ascii="仿宋" w:hAnsi="仿宋" w:eastAsia="仿宋" w:cs="仿宋_GB2312"/>
          <w:color w:val="000000"/>
          <w:sz w:val="32"/>
          <w:szCs w:val="32"/>
          <w:shd w:val="clear" w:color="auto" w:fill="FFFFFF"/>
          <w:lang w:eastAsia="zh-CN"/>
        </w:rPr>
        <w:t>公务接待费减少</w:t>
      </w:r>
      <w:r>
        <w:rPr>
          <w:rFonts w:hint="eastAsia" w:ascii="仿宋" w:hAnsi="仿宋" w:eastAsia="仿宋" w:cs="仿宋_GB2312"/>
          <w:color w:val="000000"/>
          <w:sz w:val="32"/>
          <w:szCs w:val="32"/>
          <w:shd w:val="clear" w:color="auto" w:fill="FFFFFF"/>
          <w:lang w:val="en-US" w:eastAsia="zh-CN"/>
        </w:rPr>
        <w:t>4.88</w:t>
      </w:r>
      <w:r>
        <w:rPr>
          <w:rFonts w:hint="eastAsia" w:ascii="仿宋" w:hAnsi="仿宋" w:eastAsia="仿宋" w:cs="仿宋_GB2312"/>
          <w:color w:val="000000"/>
          <w:sz w:val="32"/>
          <w:szCs w:val="32"/>
          <w:shd w:val="clear" w:color="auto" w:fill="FFFFFF"/>
          <w:lang w:eastAsia="zh-CN"/>
        </w:rPr>
        <w:t>万元，原因是公务接待费支出严格执行只增不减的原则，把控支出</w:t>
      </w:r>
      <w:r>
        <w:rPr>
          <w:rFonts w:hint="eastAsia" w:ascii="仿宋" w:hAnsi="仿宋" w:eastAsia="仿宋" w:cs="仿宋_GB2312"/>
          <w:color w:val="000000"/>
          <w:sz w:val="32"/>
          <w:szCs w:val="32"/>
          <w:shd w:val="clear" w:color="auto" w:fill="FFFFFF"/>
          <w:lang w:val="en-US" w:eastAsia="zh-CN"/>
        </w:rPr>
        <w:t>的相关规范和依据，节约财政奖金 ；严格执行公务用车改革制度，加强日常用车管理，公务用车运行维护费减少4.51万元，原因是不断加强公务用车管理，节约开支；</w:t>
      </w:r>
      <w:r>
        <w:rPr>
          <w:rFonts w:hint="eastAsia" w:ascii="仿宋" w:hAnsi="仿宋" w:eastAsia="仿宋" w:cs="仿宋_GB2312"/>
          <w:color w:val="000000"/>
          <w:sz w:val="32"/>
          <w:szCs w:val="32"/>
          <w:shd w:val="clear" w:color="auto" w:fill="FFFFFF"/>
        </w:rPr>
        <w:t>公务用车购置费同上年度一样为零。</w:t>
      </w:r>
    </w:p>
    <w:p>
      <w:pPr>
        <w:widowControl/>
        <w:numPr>
          <w:ilvl w:val="0"/>
          <w:numId w:val="8"/>
        </w:numPr>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“三公”经费支出预决算分析</w:t>
      </w:r>
    </w:p>
    <w:p>
      <w:pPr>
        <w:widowControl/>
        <w:adjustRightInd w:val="0"/>
        <w:snapToGrid w:val="0"/>
        <w:spacing w:before="100" w:beforeAutospacing="1" w:after="100" w:afterAutospacing="1"/>
        <w:ind w:firstLine="640" w:firstLineChars="200"/>
        <w:jc w:val="left"/>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 xml:space="preserve">                                  </w:t>
      </w:r>
      <w:r>
        <w:rPr>
          <w:rFonts w:hint="eastAsia" w:ascii="仿宋" w:hAnsi="仿宋" w:eastAsia="仿宋" w:cs="新宋体"/>
          <w:color w:val="000000"/>
          <w:sz w:val="28"/>
          <w:szCs w:val="28"/>
          <w:shd w:val="clear" w:color="auto" w:fill="FFFFFF"/>
        </w:rPr>
        <w:t>金额单位：万元</w:t>
      </w:r>
    </w:p>
    <w:tbl>
      <w:tblPr>
        <w:tblStyle w:val="9"/>
        <w:tblW w:w="9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1650"/>
        <w:gridCol w:w="1701"/>
        <w:gridCol w:w="1701"/>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名称</w:t>
            </w:r>
          </w:p>
        </w:tc>
        <w:tc>
          <w:tcPr>
            <w:tcW w:w="1650"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预算</w:t>
            </w:r>
          </w:p>
        </w:tc>
        <w:tc>
          <w:tcPr>
            <w:tcW w:w="1701"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决算</w:t>
            </w:r>
          </w:p>
        </w:tc>
        <w:tc>
          <w:tcPr>
            <w:tcW w:w="1701"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增减额</w:t>
            </w:r>
          </w:p>
        </w:tc>
        <w:tc>
          <w:tcPr>
            <w:tcW w:w="1676" w:type="dxa"/>
            <w:vAlign w:val="center"/>
          </w:tcPr>
          <w:p>
            <w:pPr>
              <w:widowControl/>
              <w:adjustRightInd w:val="0"/>
              <w:snapToGrid w:val="0"/>
              <w:spacing w:before="100" w:beforeAutospacing="1" w:after="100" w:afterAutospacing="1"/>
              <w:ind w:firstLine="562" w:firstLineChars="200"/>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增减幅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因公出国（境）费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4.89</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-0.11</w:t>
            </w: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其中：公务用车购置费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公务用车运行维护费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4.89</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-0.11</w:t>
            </w: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公务接待费</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10</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5.22</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-4.88</w:t>
            </w:r>
          </w:p>
        </w:tc>
        <w:tc>
          <w:tcPr>
            <w:tcW w:w="1676" w:type="dxa"/>
            <w:vAlign w:val="center"/>
          </w:tcPr>
          <w:p>
            <w:pPr>
              <w:widowControl/>
              <w:adjustRightInd w:val="0"/>
              <w:snapToGrid w:val="0"/>
              <w:spacing w:before="100" w:beforeAutospacing="1" w:after="100" w:afterAutospacing="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94"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合计</w:t>
            </w:r>
          </w:p>
        </w:tc>
        <w:tc>
          <w:tcPr>
            <w:tcW w:w="1650"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15</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10.11</w:t>
            </w:r>
          </w:p>
        </w:tc>
        <w:tc>
          <w:tcPr>
            <w:tcW w:w="1701"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c>
          <w:tcPr>
            <w:tcW w:w="1676" w:type="dxa"/>
            <w:vAlign w:val="center"/>
          </w:tcPr>
          <w:p>
            <w:pPr>
              <w:widowControl/>
              <w:adjustRightInd w:val="0"/>
              <w:snapToGrid w:val="0"/>
              <w:spacing w:before="100" w:beforeAutospacing="1" w:after="100" w:afterAutospacing="1"/>
              <w:ind w:firstLine="560" w:firstLineChars="200"/>
              <w:rPr>
                <w:rFonts w:ascii="仿宋" w:hAnsi="仿宋" w:eastAsia="仿宋" w:cs="仿宋"/>
                <w:color w:val="000000"/>
                <w:sz w:val="28"/>
                <w:szCs w:val="28"/>
                <w:shd w:val="clear" w:color="auto" w:fill="FFFFFF"/>
              </w:rPr>
            </w:pPr>
          </w:p>
        </w:tc>
      </w:tr>
    </w:tbl>
    <w:p>
      <w:pPr>
        <w:widowControl/>
        <w:adjustRightInd w:val="0"/>
        <w:spacing w:before="100" w:beforeAutospacing="1" w:after="100" w:afterAutospacing="1"/>
        <w:ind w:firstLine="640" w:firstLineChars="200"/>
        <w:contextualSpacing/>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我部门</w:t>
      </w:r>
      <w:r>
        <w:rPr>
          <w:rFonts w:hint="eastAsia" w:ascii="仿宋" w:hAnsi="仿宋" w:eastAsia="仿宋" w:cs="仿宋_GB2312"/>
          <w:color w:val="000000"/>
          <w:sz w:val="32"/>
          <w:szCs w:val="32"/>
          <w:shd w:val="clear" w:color="auto" w:fill="FFFFFF"/>
          <w:lang w:eastAsia="zh-CN"/>
        </w:rPr>
        <w:t>公务用运行维护费年初预算是</w:t>
      </w:r>
      <w:r>
        <w:rPr>
          <w:rFonts w:hint="eastAsia" w:ascii="仿宋" w:hAnsi="仿宋" w:eastAsia="仿宋" w:cs="仿宋_GB2312"/>
          <w:color w:val="000000"/>
          <w:sz w:val="32"/>
          <w:szCs w:val="32"/>
          <w:shd w:val="clear" w:color="auto" w:fill="FFFFFF"/>
          <w:lang w:val="en-US" w:eastAsia="zh-CN"/>
        </w:rPr>
        <w:t>5万元，决算数是4.89万元，原因是不断加强公务用车管理，节约开支；公务接待数年初预算数10万元，决算数是5.22万元，</w:t>
      </w:r>
      <w:r>
        <w:rPr>
          <w:rFonts w:hint="eastAsia" w:ascii="仿宋" w:hAnsi="仿宋" w:eastAsia="仿宋" w:cs="仿宋_GB2312"/>
          <w:color w:val="000000"/>
          <w:sz w:val="32"/>
          <w:szCs w:val="32"/>
          <w:shd w:val="clear" w:color="auto" w:fill="FFFFFF"/>
          <w:lang w:eastAsia="zh-CN"/>
        </w:rPr>
        <w:t>原因是公务接待费支出严格执行只增不减的原则，把控支出</w:t>
      </w:r>
      <w:r>
        <w:rPr>
          <w:rFonts w:hint="eastAsia" w:ascii="仿宋" w:hAnsi="仿宋" w:eastAsia="仿宋" w:cs="仿宋_GB2312"/>
          <w:color w:val="000000"/>
          <w:sz w:val="32"/>
          <w:szCs w:val="32"/>
          <w:shd w:val="clear" w:color="auto" w:fill="FFFFFF"/>
          <w:lang w:val="en-US" w:eastAsia="zh-CN"/>
        </w:rPr>
        <w:t>的相关规范和依据，节约财政奖金 ；</w:t>
      </w:r>
      <w:r>
        <w:rPr>
          <w:rFonts w:hint="eastAsia" w:ascii="仿宋" w:hAnsi="仿宋" w:eastAsia="仿宋" w:cs="仿宋_GB2312"/>
          <w:color w:val="000000"/>
          <w:sz w:val="32"/>
          <w:szCs w:val="32"/>
          <w:shd w:val="clear" w:color="auto" w:fill="FFFFFF"/>
        </w:rPr>
        <w:t>出国团组为0个，0人次。公务用车保有量为2辆。国内公务接待100批次，495人次。</w:t>
      </w:r>
    </w:p>
    <w:p>
      <w:pPr>
        <w:pStyle w:val="4"/>
        <w:widowControl/>
        <w:numPr>
          <w:ilvl w:val="0"/>
          <w:numId w:val="9"/>
        </w:numPr>
        <w:shd w:val="clear" w:color="auto" w:fill="FFFFFF"/>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预算绩效管理工作开展情况说明</w:t>
      </w:r>
    </w:p>
    <w:p>
      <w:pPr>
        <w:pStyle w:val="4"/>
        <w:widowControl/>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（一）总体情况</w:t>
      </w:r>
    </w:p>
    <w:p>
      <w:pPr>
        <w:pStyle w:val="4"/>
        <w:widowControl/>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2017年，我镇紧紧围绕南宫市委员会和南宫市政府的决策部署，预算安排各项资金，强力推进行政管理改革，扎实推进小城镇建设。</w:t>
      </w:r>
    </w:p>
    <w:p>
      <w:pPr>
        <w:pStyle w:val="4"/>
        <w:widowControl/>
        <w:numPr>
          <w:ilvl w:val="0"/>
          <w:numId w:val="10"/>
        </w:numPr>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绩效自评开展情况</w:t>
      </w:r>
    </w:p>
    <w:p>
      <w:pPr>
        <w:pStyle w:val="4"/>
        <w:widowControl/>
        <w:numPr>
          <w:ilvl w:val="0"/>
          <w:numId w:val="11"/>
        </w:numPr>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 xml:space="preserve">前期准备。成立以党委书记任组长，各分管片长任副组长，计财装备处、业务处室等部门为成员的绩效评价工作组，统筹组织开展绩效评价工作。召开专题会议研究部署，认真传达学习《关于做好 2018 年省直部门绩效自评工作的通知》等文件精神，明确目标任务， 落实责任分工，确保自评工作扎实有效开展。 </w:t>
      </w:r>
    </w:p>
    <w:p>
      <w:pPr>
        <w:pStyle w:val="4"/>
        <w:widowControl/>
        <w:shd w:val="clear" w:color="auto" w:fill="FFFFFF"/>
        <w:adjustRightInd w:val="0"/>
        <w:spacing w:before="100" w:after="100"/>
        <w:ind w:firstLine="707" w:firstLineChars="221"/>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2、组织实施。对资金使用进行综合自评，采取收集、审核资料、现场核实、综合评价等措施进行定量定性的评价，最后分别形成结论。</w:t>
      </w:r>
    </w:p>
    <w:p>
      <w:pPr>
        <w:pStyle w:val="4"/>
        <w:widowControl/>
        <w:shd w:val="clear" w:color="auto" w:fill="FFFFFF"/>
        <w:adjustRightInd w:val="0"/>
        <w:spacing w:before="100" w:after="100"/>
        <w:ind w:firstLine="707" w:firstLineChars="221"/>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3、分析评价。根据评价，对发现的问题提出意见和建议，汇总形成预算安排的专项项目绩效目标自评表，按照规定的文本格式和要求撰写绩效评价报告，并在规定的时间内正式提交。</w:t>
      </w:r>
    </w:p>
    <w:p>
      <w:pPr>
        <w:pStyle w:val="4"/>
        <w:widowControl/>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r>
        <w:rPr>
          <w:rFonts w:hint="eastAsia" w:ascii="仿宋" w:hAnsi="仿宋" w:eastAsia="仿宋" w:cs="仿宋_GB2312"/>
          <w:color w:val="000000"/>
          <w:kern w:val="2"/>
          <w:sz w:val="32"/>
          <w:szCs w:val="32"/>
          <w:shd w:val="clear" w:color="auto" w:fill="FFFFFF"/>
        </w:rPr>
        <w:t>（三）部门整体绩效目标的完成情况</w:t>
      </w:r>
    </w:p>
    <w:p>
      <w:pPr>
        <w:ind w:firstLine="645"/>
        <w:rPr>
          <w:rFonts w:ascii="仿宋" w:hAnsi="仿宋" w:eastAsia="仿宋"/>
          <w:bCs/>
          <w:sz w:val="32"/>
          <w:szCs w:val="32"/>
        </w:rPr>
      </w:pPr>
      <w:r>
        <w:rPr>
          <w:rFonts w:hint="eastAsia" w:ascii="仿宋" w:hAnsi="仿宋" w:eastAsia="仿宋" w:cs="黑体"/>
          <w:sz w:val="32"/>
          <w:szCs w:val="32"/>
        </w:rPr>
        <w:t>开发区建设强力推进，新的发展平台正在形成。</w:t>
      </w:r>
      <w:r>
        <w:rPr>
          <w:rFonts w:hint="eastAsia" w:ascii="仿宋" w:hAnsi="仿宋" w:eastAsia="仿宋" w:cs="仿宋"/>
          <w:sz w:val="32"/>
          <w:szCs w:val="32"/>
        </w:rPr>
        <w:t>坚持从全镇区位特点、产业特色、土地优势等实际出发，积极探索启动段芦头集体经济改革发展试验区建设工作。</w:t>
      </w:r>
      <w:r>
        <w:rPr>
          <w:rFonts w:hint="eastAsia" w:ascii="仿宋" w:hAnsi="仿宋" w:eastAsia="仿宋" w:cs="黑体"/>
          <w:sz w:val="32"/>
          <w:szCs w:val="32"/>
        </w:rPr>
        <w:t>一是</w:t>
      </w:r>
      <w:r>
        <w:rPr>
          <w:rFonts w:hint="eastAsia" w:ascii="仿宋" w:hAnsi="仿宋" w:eastAsia="仿宋" w:cs="仿宋"/>
          <w:sz w:val="32"/>
          <w:szCs w:val="32"/>
        </w:rPr>
        <w:t>初步完成园区总体发展规划。在南张庄、陶屯、安子窝、西王排、董家庙等19个村，总面积32平方公里的土地上，按照集体经济和特色小镇发展模式，规划布局了以镇区为引领的羊绒小镇、以南张为引领的车饰小镇、以西王排为引领的纺织小镇、以董家庙为引领的汽配小镇等4个特色产业展集中区；沿清凉江自南向北，规划布局出三产、二产、一产三个交替发展的产业经济带，推动产业实现融合发展。</w:t>
      </w:r>
      <w:r>
        <w:rPr>
          <w:rFonts w:hint="eastAsia" w:ascii="仿宋" w:hAnsi="仿宋" w:eastAsia="仿宋" w:cs="黑体"/>
          <w:bCs/>
          <w:sz w:val="32"/>
          <w:szCs w:val="32"/>
        </w:rPr>
        <w:t>二是</w:t>
      </w:r>
      <w:r>
        <w:rPr>
          <w:rFonts w:hint="eastAsia" w:ascii="仿宋" w:hAnsi="仿宋" w:eastAsia="仿宋" w:cs="仿宋"/>
          <w:sz w:val="32"/>
          <w:szCs w:val="32"/>
        </w:rPr>
        <w:t>启动总面积1300多亩的“东、西”两个起步区。开展了东区项目入驻工作，原协议引进的8家企业有4家进场开工；历时5个多月，完成了起步区西区的征地、清表等工作。为项目入驻创造条件。</w:t>
      </w:r>
      <w:r>
        <w:rPr>
          <w:rFonts w:hint="eastAsia" w:ascii="仿宋" w:hAnsi="仿宋" w:eastAsia="仿宋" w:cs="黑体"/>
          <w:sz w:val="32"/>
          <w:szCs w:val="32"/>
        </w:rPr>
        <w:t>三是</w:t>
      </w:r>
      <w:r>
        <w:rPr>
          <w:rFonts w:hint="eastAsia" w:ascii="仿宋" w:hAnsi="仿宋" w:eastAsia="仿宋" w:cs="仿宋"/>
          <w:sz w:val="32"/>
          <w:szCs w:val="32"/>
        </w:rPr>
        <w:t>启动园区基础设施建设。投资159万元，新修袁村-西王排总长1.4公里的沿江道路；启动总投资2500多万元的</w:t>
      </w:r>
      <w:r>
        <w:rPr>
          <w:rFonts w:hint="eastAsia" w:ascii="仿宋" w:hAnsi="仿宋" w:eastAsia="仿宋"/>
          <w:sz w:val="32"/>
          <w:szCs w:val="32"/>
        </w:rPr>
        <w:t>唐庄至清凉江的道路工程、</w:t>
      </w:r>
      <w:r>
        <w:rPr>
          <w:rFonts w:hint="eastAsia" w:ascii="仿宋" w:hAnsi="仿宋" w:eastAsia="仿宋"/>
          <w:bCs/>
          <w:sz w:val="32"/>
          <w:szCs w:val="32"/>
        </w:rPr>
        <w:t>悬空村跨江大桥与石家屯跨江大桥。目前，三项工程已完成立项，即将启动建设。</w:t>
      </w:r>
    </w:p>
    <w:p>
      <w:pPr>
        <w:ind w:firstLine="645"/>
        <w:rPr>
          <w:rFonts w:ascii="仿宋" w:hAnsi="仿宋" w:eastAsia="仿宋"/>
          <w:sz w:val="32"/>
          <w:szCs w:val="32"/>
        </w:rPr>
      </w:pPr>
      <w:r>
        <w:rPr>
          <w:rFonts w:hint="eastAsia" w:ascii="仿宋" w:hAnsi="仿宋" w:eastAsia="仿宋" w:cs="黑体"/>
          <w:bCs/>
          <w:sz w:val="32"/>
          <w:szCs w:val="32"/>
        </w:rPr>
        <w:t>——</w:t>
      </w:r>
      <w:r>
        <w:rPr>
          <w:rFonts w:hint="eastAsia" w:ascii="仿宋" w:hAnsi="仿宋" w:eastAsia="仿宋" w:cs="黑体"/>
          <w:sz w:val="32"/>
          <w:szCs w:val="32"/>
        </w:rPr>
        <w:t>招商引资取得突破，产业基础进一步夯实。</w:t>
      </w:r>
      <w:r>
        <w:rPr>
          <w:rFonts w:hint="eastAsia" w:ascii="仿宋" w:hAnsi="仿宋" w:eastAsia="仿宋" w:cs="仿宋"/>
          <w:sz w:val="32"/>
          <w:szCs w:val="32"/>
        </w:rPr>
        <w:t>先后赴浙江、雄安新区等地开展多次招商洽谈活动，对接、洽谈、考察各类项目60多个，经过筛选、比对、考察，在起步区西区最终确定了</w:t>
      </w:r>
      <w:r>
        <w:rPr>
          <w:rFonts w:hint="eastAsia" w:ascii="仿宋" w:hAnsi="仿宋" w:eastAsia="仿宋"/>
          <w:sz w:val="32"/>
          <w:szCs w:val="32"/>
        </w:rPr>
        <w:t>汽配、纺织两类产业的28家企业，其中纺织类4家，包括13条半精纺、精仿纺纱线；汽配类24家，产品涉及真空刹车泵、安全气囊、滤材生产、机油滤芯、空气滤芯。28个项目</w:t>
      </w:r>
      <w:r>
        <w:rPr>
          <w:rFonts w:hint="eastAsia" w:ascii="仿宋" w:hAnsi="仿宋" w:eastAsia="仿宋" w:cs="仿宋"/>
          <w:sz w:val="32"/>
          <w:szCs w:val="32"/>
        </w:rPr>
        <w:t>规划占地面积580多亩，总投资8亿多元，总建筑面积30多万平方米，全部项目建成投产后，将为全镇直接增加财政收入2000多万元。目前，28家企业已全部缴纳了项目保证金。年底前即将开工建设。电商、物流、车衣、车饰汽车后市场用品等产业蓬勃发展，</w:t>
      </w:r>
      <w:r>
        <w:rPr>
          <w:rFonts w:hint="eastAsia" w:ascii="仿宋" w:hAnsi="仿宋" w:eastAsia="仿宋"/>
          <w:sz w:val="32"/>
          <w:szCs w:val="32"/>
        </w:rPr>
        <w:t>全镇形成了230余家</w:t>
      </w:r>
      <w:r>
        <w:rPr>
          <w:rFonts w:hint="eastAsia" w:ascii="仿宋" w:hAnsi="仿宋" w:eastAsia="仿宋" w:cs="仿宋"/>
          <w:sz w:val="32"/>
          <w:szCs w:val="32"/>
        </w:rPr>
        <w:t>汽车后市场用品加工户，</w:t>
      </w:r>
      <w:r>
        <w:rPr>
          <w:rFonts w:hint="eastAsia" w:ascii="仿宋" w:hAnsi="仿宋" w:eastAsia="仿宋"/>
          <w:sz w:val="32"/>
          <w:szCs w:val="32"/>
        </w:rPr>
        <w:t>年产量接近2000万件；近35家快递物流企业落户我镇，全年快递件吞吐量近2亿件。</w:t>
      </w:r>
    </w:p>
    <w:p>
      <w:pPr>
        <w:ind w:firstLine="640" w:firstLineChars="200"/>
        <w:rPr>
          <w:rFonts w:ascii="仿宋" w:hAnsi="仿宋" w:eastAsia="仿宋" w:cs="楷体"/>
          <w:sz w:val="32"/>
          <w:szCs w:val="32"/>
        </w:rPr>
      </w:pPr>
      <w:r>
        <w:rPr>
          <w:rFonts w:hint="eastAsia" w:ascii="仿宋" w:hAnsi="仿宋" w:eastAsia="仿宋"/>
          <w:sz w:val="32"/>
          <w:szCs w:val="32"/>
        </w:rPr>
        <w:t>——城镇建设稳步开展，朝着特色小城镇目标迈进。</w:t>
      </w:r>
      <w:r>
        <w:rPr>
          <w:rFonts w:hint="eastAsia" w:ascii="仿宋" w:hAnsi="仿宋" w:eastAsia="仿宋" w:cs="仿宋"/>
          <w:sz w:val="32"/>
          <w:szCs w:val="32"/>
        </w:rPr>
        <w:t>围绕“打造全国重点特色小城镇”的总体目标，加大城镇建设和管理力度。</w:t>
      </w:r>
      <w:r>
        <w:rPr>
          <w:rFonts w:hint="eastAsia" w:ascii="仿宋" w:hAnsi="仿宋" w:eastAsia="仿宋" w:cs="黑体"/>
          <w:sz w:val="32"/>
          <w:szCs w:val="32"/>
        </w:rPr>
        <w:t>一是</w:t>
      </w:r>
      <w:r>
        <w:rPr>
          <w:rFonts w:hint="eastAsia" w:ascii="仿宋" w:hAnsi="仿宋" w:eastAsia="仿宋" w:cs="仿宋"/>
          <w:sz w:val="32"/>
          <w:szCs w:val="32"/>
        </w:rPr>
        <w:t>加大基础设施投入力度。投资近600万元，谋划启动京九大街道路景观打造工程、老308国道镇区段景观建设工程、京九大街和老308国道两条道路亮化工程、镇区污水管网铺设工程、镇区京九大街与新308国道主出入口景观打造工程等6项重点工程。目前，5项工程已完成预算评审、即将招标启动建设；1项工程正在实施。</w:t>
      </w:r>
      <w:r>
        <w:rPr>
          <w:rFonts w:hint="eastAsia" w:ascii="仿宋" w:hAnsi="仿宋" w:eastAsia="仿宋" w:cs="黑体"/>
          <w:sz w:val="32"/>
          <w:szCs w:val="32"/>
        </w:rPr>
        <w:t>二是</w:t>
      </w:r>
      <w:r>
        <w:rPr>
          <w:rFonts w:hint="eastAsia" w:ascii="仿宋" w:hAnsi="仿宋" w:eastAsia="仿宋" w:cs="仿宋"/>
          <w:sz w:val="32"/>
          <w:szCs w:val="32"/>
        </w:rPr>
        <w:t>加大拆违治乱力度。对镇区占道经营、私搭乱建现象开展了4次集中整治，拆除违章建筑3000多平方米，初步扭转了镇区交通拥堵、脏乱差的局面。</w:t>
      </w:r>
      <w:r>
        <w:rPr>
          <w:rFonts w:hint="eastAsia" w:ascii="仿宋" w:hAnsi="仿宋" w:eastAsia="仿宋" w:cs="楷体"/>
          <w:sz w:val="32"/>
          <w:szCs w:val="32"/>
        </w:rPr>
        <w:t>严格管控违法占地、私自建厂行为，有效刹住了违法占地、违法建厂等现象。</w:t>
      </w:r>
      <w:r>
        <w:rPr>
          <w:rFonts w:hint="eastAsia" w:ascii="仿宋" w:hAnsi="仿宋" w:eastAsia="仿宋" w:cs="楷体"/>
          <w:bCs/>
          <w:sz w:val="32"/>
          <w:szCs w:val="32"/>
        </w:rPr>
        <w:t>扎实推进一区三边拆违工作。对</w:t>
      </w:r>
      <w:r>
        <w:rPr>
          <w:rFonts w:hint="eastAsia" w:ascii="仿宋" w:hAnsi="仿宋" w:eastAsia="仿宋" w:cs="楷体"/>
          <w:sz w:val="32"/>
          <w:szCs w:val="32"/>
        </w:rPr>
        <w:t>国省干道两侧100米范围内违法建筑进行了评估。</w:t>
      </w:r>
    </w:p>
    <w:p>
      <w:pPr>
        <w:ind w:firstLine="640" w:firstLineChars="200"/>
        <w:rPr>
          <w:rFonts w:ascii="仿宋" w:hAnsi="仿宋" w:eastAsia="仿宋" w:cs="黑体"/>
          <w:sz w:val="32"/>
          <w:szCs w:val="32"/>
        </w:rPr>
      </w:pPr>
      <w:r>
        <w:rPr>
          <w:rFonts w:hint="eastAsia" w:ascii="仿宋" w:hAnsi="仿宋" w:eastAsia="仿宋" w:cs="黑体"/>
          <w:sz w:val="32"/>
          <w:szCs w:val="32"/>
        </w:rPr>
        <w:t>——农业农村工作扎实推进，多项民生工程启动实施。</w:t>
      </w:r>
      <w:r>
        <w:rPr>
          <w:rFonts w:hint="eastAsia" w:ascii="仿宋" w:hAnsi="仿宋" w:eastAsia="仿宋" w:cs="楷体"/>
          <w:sz w:val="32"/>
          <w:szCs w:val="32"/>
        </w:rPr>
        <w:t>围绕农民增收、农业增效调整农业结构，</w:t>
      </w:r>
      <w:r>
        <w:rPr>
          <w:rFonts w:hint="eastAsia" w:ascii="仿宋" w:hAnsi="仿宋" w:eastAsia="仿宋"/>
          <w:sz w:val="32"/>
          <w:szCs w:val="32"/>
        </w:rPr>
        <w:t>段二村发展苗圃种植560亩，马河涯村发展杏树种植280亩，全镇发展土豆种植80亩，金银花、牡丹等药材种植400亩，发展养驴190头，完成植树6100亩。土地流转达到30%以上，其中产生了10户200亩以上的家庭农场，50亩以上的300多户，达到全市平均水平；在全市农村贫困人口建档立卡“回头看”工作中，通过农户申请，村民代表民主评议，镇政府审核，最终确定154户308人为贫困户，新增低保户385人。镇党委多方筹集资金100余万元，统一为全镇35户贫困户建设房屋，从根本上解决建档立卡贫困户住危房的问题，目前，已完成27户房屋主体建设；鲁义寨、三官屯、南张庄等村修建联村公路、硬化街道约6000平方米，彻底解决群众的出行问题，改善了村容村貌。</w:t>
      </w:r>
    </w:p>
    <w:p>
      <w:pPr>
        <w:kinsoku w:val="0"/>
        <w:overflowPunct w:val="0"/>
        <w:autoSpaceDE w:val="0"/>
        <w:autoSpaceDN w:val="0"/>
        <w:ind w:firstLine="640" w:firstLineChars="200"/>
        <w:rPr>
          <w:rFonts w:ascii="仿宋" w:hAnsi="仿宋" w:eastAsia="仿宋" w:cs="黑体"/>
          <w:sz w:val="32"/>
          <w:szCs w:val="32"/>
        </w:rPr>
      </w:pPr>
      <w:r>
        <w:rPr>
          <w:rFonts w:hint="eastAsia" w:ascii="仿宋" w:hAnsi="仿宋" w:eastAsia="仿宋" w:cs="黑体"/>
          <w:sz w:val="32"/>
          <w:szCs w:val="32"/>
        </w:rPr>
        <w:t>——环保、维稳、安全生产等工作深入开展，营造了良好发展环境。</w:t>
      </w:r>
    </w:p>
    <w:p>
      <w:pPr>
        <w:kinsoku w:val="0"/>
        <w:overflowPunct w:val="0"/>
        <w:autoSpaceDE w:val="0"/>
        <w:autoSpaceDN w:val="0"/>
        <w:ind w:firstLine="640" w:firstLineChars="200"/>
        <w:rPr>
          <w:rFonts w:ascii="仿宋" w:hAnsi="仿宋" w:eastAsia="仿宋" w:cs="仿宋_GB2312"/>
          <w:sz w:val="32"/>
          <w:szCs w:val="32"/>
        </w:rPr>
      </w:pPr>
      <w:r>
        <w:rPr>
          <w:rFonts w:hint="eastAsia" w:ascii="仿宋" w:hAnsi="仿宋" w:eastAsia="仿宋" w:cs="黑体"/>
          <w:sz w:val="32"/>
          <w:szCs w:val="32"/>
        </w:rPr>
        <w:t>环保工作：</w:t>
      </w:r>
      <w:r>
        <w:rPr>
          <w:rFonts w:hint="eastAsia" w:ascii="仿宋" w:hAnsi="仿宋" w:eastAsia="仿宋" w:cs="仿宋_GB2312"/>
          <w:sz w:val="32"/>
          <w:szCs w:val="32"/>
        </w:rPr>
        <w:t>取缔并拆除工业燃煤锅炉</w:t>
      </w:r>
      <w:r>
        <w:rPr>
          <w:rFonts w:ascii="仿宋" w:hAnsi="仿宋" w:eastAsia="仿宋" w:cs="仿宋_GB2312"/>
          <w:sz w:val="32"/>
          <w:szCs w:val="32"/>
        </w:rPr>
        <w:t>21</w:t>
      </w:r>
      <w:r>
        <w:rPr>
          <w:rFonts w:hint="eastAsia" w:ascii="仿宋" w:hAnsi="仿宋" w:eastAsia="仿宋" w:cs="仿宋_GB2312"/>
          <w:sz w:val="32"/>
          <w:szCs w:val="32"/>
        </w:rPr>
        <w:t>台，改造或更换为生物质燃料锅炉和天然气锅炉</w:t>
      </w:r>
      <w:r>
        <w:rPr>
          <w:rFonts w:ascii="仿宋" w:hAnsi="仿宋" w:eastAsia="仿宋" w:cs="仿宋_GB2312"/>
          <w:sz w:val="32"/>
          <w:szCs w:val="32"/>
        </w:rPr>
        <w:t>3</w:t>
      </w:r>
      <w:r>
        <w:rPr>
          <w:rFonts w:hint="eastAsia" w:ascii="仿宋" w:hAnsi="仿宋" w:eastAsia="仿宋" w:cs="仿宋_GB2312"/>
          <w:sz w:val="32"/>
          <w:szCs w:val="32"/>
        </w:rPr>
        <w:t>台；取缔</w:t>
      </w:r>
      <w:r>
        <w:rPr>
          <w:rFonts w:ascii="仿宋" w:hAnsi="仿宋" w:eastAsia="仿宋" w:cs="仿宋_GB2312"/>
          <w:sz w:val="32"/>
          <w:szCs w:val="32"/>
        </w:rPr>
        <w:t>4</w:t>
      </w:r>
      <w:r>
        <w:rPr>
          <w:rFonts w:hint="eastAsia" w:ascii="仿宋" w:hAnsi="仿宋" w:eastAsia="仿宋" w:cs="仿宋_GB2312"/>
          <w:sz w:val="32"/>
          <w:szCs w:val="32"/>
        </w:rPr>
        <w:t>家散煤点，保留的2家煤场均已办理环评手续并通过环保验收；取缔散乱污企业</w:t>
      </w:r>
      <w:r>
        <w:rPr>
          <w:rFonts w:ascii="仿宋" w:hAnsi="仿宋" w:eastAsia="仿宋" w:cs="仿宋_GB2312"/>
          <w:sz w:val="32"/>
          <w:szCs w:val="32"/>
        </w:rPr>
        <w:t>9</w:t>
      </w:r>
      <w:r>
        <w:rPr>
          <w:rFonts w:hint="eastAsia" w:ascii="仿宋" w:hAnsi="仿宋" w:eastAsia="仿宋" w:cs="仿宋_GB2312"/>
          <w:sz w:val="32"/>
          <w:szCs w:val="32"/>
        </w:rPr>
        <w:t>家，包括</w:t>
      </w:r>
      <w:r>
        <w:rPr>
          <w:rFonts w:ascii="仿宋" w:hAnsi="仿宋" w:eastAsia="仿宋" w:cs="仿宋_GB2312"/>
          <w:sz w:val="32"/>
          <w:szCs w:val="32"/>
        </w:rPr>
        <w:t>3</w:t>
      </w:r>
      <w:r>
        <w:rPr>
          <w:rFonts w:hint="eastAsia" w:ascii="仿宋" w:hAnsi="仿宋" w:eastAsia="仿宋" w:cs="仿宋_GB2312"/>
          <w:sz w:val="32"/>
          <w:szCs w:val="32"/>
        </w:rPr>
        <w:t>个修车厂，</w:t>
      </w:r>
      <w:r>
        <w:rPr>
          <w:rFonts w:ascii="仿宋" w:hAnsi="仿宋" w:eastAsia="仿宋" w:cs="仿宋_GB2312"/>
          <w:sz w:val="32"/>
          <w:szCs w:val="32"/>
        </w:rPr>
        <w:t>2</w:t>
      </w:r>
      <w:r>
        <w:rPr>
          <w:rFonts w:hint="eastAsia" w:ascii="仿宋" w:hAnsi="仿宋" w:eastAsia="仿宋" w:cs="仿宋_GB2312"/>
          <w:sz w:val="32"/>
          <w:szCs w:val="32"/>
        </w:rPr>
        <w:t>个水管厂，</w:t>
      </w:r>
      <w:r>
        <w:rPr>
          <w:rFonts w:ascii="仿宋" w:hAnsi="仿宋" w:eastAsia="仿宋" w:cs="仿宋_GB2312"/>
          <w:sz w:val="32"/>
          <w:szCs w:val="32"/>
        </w:rPr>
        <w:t>4</w:t>
      </w:r>
      <w:r>
        <w:rPr>
          <w:rFonts w:hint="eastAsia" w:ascii="仿宋" w:hAnsi="仿宋" w:eastAsia="仿宋" w:cs="仿宋_GB2312"/>
          <w:sz w:val="32"/>
          <w:szCs w:val="32"/>
        </w:rPr>
        <w:t>家脚垫厂；全镇设立了</w:t>
      </w:r>
      <w:r>
        <w:rPr>
          <w:rFonts w:ascii="仿宋" w:hAnsi="仿宋" w:eastAsia="仿宋" w:cs="仿宋_GB2312"/>
          <w:sz w:val="32"/>
          <w:szCs w:val="32"/>
        </w:rPr>
        <w:t>147</w:t>
      </w:r>
      <w:r>
        <w:rPr>
          <w:rFonts w:hint="eastAsia" w:ascii="仿宋" w:hAnsi="仿宋" w:eastAsia="仿宋" w:cs="仿宋_GB2312"/>
          <w:sz w:val="32"/>
          <w:szCs w:val="32"/>
        </w:rPr>
        <w:t>个秸秆禁烧网格，部署了</w:t>
      </w:r>
      <w:r>
        <w:rPr>
          <w:rFonts w:ascii="仿宋" w:hAnsi="仿宋" w:eastAsia="仿宋" w:cs="仿宋_GB2312"/>
          <w:sz w:val="32"/>
          <w:szCs w:val="32"/>
        </w:rPr>
        <w:t>173</w:t>
      </w:r>
      <w:r>
        <w:rPr>
          <w:rFonts w:hint="eastAsia" w:ascii="仿宋" w:hAnsi="仿宋" w:eastAsia="仿宋" w:cs="仿宋_GB2312"/>
          <w:sz w:val="32"/>
          <w:szCs w:val="32"/>
        </w:rPr>
        <w:t>名巡查员，组建了</w:t>
      </w:r>
      <w:r>
        <w:rPr>
          <w:rFonts w:ascii="仿宋" w:hAnsi="仿宋" w:eastAsia="仿宋" w:cs="仿宋_GB2312"/>
          <w:sz w:val="32"/>
          <w:szCs w:val="32"/>
        </w:rPr>
        <w:t>183</w:t>
      </w:r>
      <w:r>
        <w:rPr>
          <w:rFonts w:hint="eastAsia" w:ascii="仿宋" w:hAnsi="仿宋" w:eastAsia="仿宋" w:cs="仿宋_GB2312"/>
          <w:sz w:val="32"/>
          <w:szCs w:val="32"/>
        </w:rPr>
        <w:t>人的秸秆禁烧应急小分队，配备专门车辆和应急物资装备，负责辖区内的秸秆禁烧工作；对涉及大气污染防治的企业设立驻厂员，加强对涉大气污染防治企业的日常监管。</w:t>
      </w:r>
    </w:p>
    <w:p>
      <w:pPr>
        <w:ind w:firstLine="640" w:firstLineChars="200"/>
        <w:rPr>
          <w:rFonts w:ascii="仿宋" w:hAnsi="仿宋" w:eastAsia="仿宋" w:cs="仿宋_GB2312"/>
          <w:sz w:val="32"/>
          <w:szCs w:val="32"/>
        </w:rPr>
      </w:pPr>
      <w:r>
        <w:rPr>
          <w:rFonts w:hint="eastAsia" w:ascii="仿宋" w:hAnsi="仿宋" w:eastAsia="仿宋" w:cs="黑体"/>
          <w:sz w:val="32"/>
          <w:szCs w:val="32"/>
        </w:rPr>
        <w:t>安全生产工作：</w:t>
      </w:r>
      <w:r>
        <w:rPr>
          <w:rFonts w:hint="eastAsia" w:ascii="仿宋" w:hAnsi="仿宋" w:eastAsia="仿宋" w:cs="仿宋_GB2312"/>
          <w:sz w:val="32"/>
          <w:szCs w:val="32"/>
        </w:rPr>
        <w:t>严格按照中央、省、邢台市和南宫市委、市政府《关于开展安全生产大检查》的安排部署，在9-10月份开展安全生产大检查3次，查出并督办解决5家企业17个安全隐患问题，责令限期整改1家、督办问题8个，责令停工整改企业和工地6个；对镇区1所医院，1所中学、33个中小学及幼儿园，1家敬老院进行了全面检查，查纠问题17个，交办限期整改事项9个；以村为单位组织开展一般性排查，查找并解决电气设施与物料堆放隐患22个，有效消除了重点部位的安全隐患，全镇没有发生一起安全生产事故。</w:t>
      </w:r>
    </w:p>
    <w:p>
      <w:pPr>
        <w:ind w:firstLine="640" w:firstLineChars="200"/>
        <w:rPr>
          <w:rFonts w:ascii="仿宋" w:hAnsi="仿宋" w:eastAsia="仿宋" w:cs="仿宋"/>
          <w:sz w:val="32"/>
          <w:szCs w:val="32"/>
        </w:rPr>
      </w:pPr>
      <w:r>
        <w:rPr>
          <w:rFonts w:hint="eastAsia" w:ascii="仿宋" w:hAnsi="仿宋" w:eastAsia="仿宋" w:cs="黑体"/>
          <w:sz w:val="32"/>
          <w:szCs w:val="32"/>
        </w:rPr>
        <w:t>维护稳定工作：</w:t>
      </w:r>
      <w:r>
        <w:rPr>
          <w:rFonts w:hint="eastAsia" w:ascii="仿宋" w:hAnsi="仿宋" w:eastAsia="仿宋" w:cs="仿宋"/>
          <w:sz w:val="32"/>
          <w:szCs w:val="32"/>
        </w:rPr>
        <w:t>在市委、市政府的支持下，为全镇39名退役士兵解决了工作安置问题，对293名60岁以上退伍军人，48名两参重点优抚对象提高了优抚标准；对116个稳控人员分类布控，建立“四包一”稳控队伍，实现了人人有人稳控的目标；在42个村建立信访维稳网格化管理机制，每天2-3次调度各村维稳情况；严格执行接访领导接访工作日制度，每天1名班子成员专职接访，近期共接访解决问题7个；3次组织镇村两级开展了为期13天的专项信访维稳排查活动，新增调整稳控关系36人，并及时落实了稳控措施；组建了以38名基层民兵，180名“红袖章”巡逻队伍、5名派出所民警组成的基本应急稳控队伍，与铁路沿线11个村签订了《铁路护路联防责任承诺书》，加强对沿线中小学生、精神病人、放牧人员的管理教育，扎实开展铁道护路、重点部位安保巡逻工作，目前全镇信访维稳局面总体可控。</w:t>
      </w:r>
    </w:p>
    <w:p>
      <w:pPr>
        <w:ind w:firstLine="640" w:firstLineChars="200"/>
        <w:rPr>
          <w:rFonts w:ascii="仿宋" w:hAnsi="仿宋" w:eastAsia="仿宋"/>
          <w:sz w:val="32"/>
          <w:szCs w:val="32"/>
        </w:rPr>
      </w:pPr>
      <w:r>
        <w:rPr>
          <w:rFonts w:hint="eastAsia" w:ascii="仿宋" w:hAnsi="仿宋" w:eastAsia="仿宋"/>
          <w:sz w:val="32"/>
          <w:szCs w:val="32"/>
        </w:rPr>
        <w:t>——基层党建工作成效明显，提升了党员队伍整体素质和党支部的战斗力、凝聚力。7月份，圆满组织召开了全镇1600名农村党员集中培训，取得了良好效果。9月份，完成党员信息采集1833名，完成1582名党员信息12371网站注册工作，完善了22个非公企业党支部的党员组织关系转接和软硬件建设，完成了50名农村离任村党支部书记和村委会主任证明材料的审核上报工作。与此同时，重点抓了软弱涣散基层党组织的整顿转化，南张庄290平、砖混结构两室主体和村民活动广场已经完工，安子窝村160平、砖混结构两室已经建成投入使用，东孙庄村两室已经完成选址，近期可开工建设，确保月底前完成建设任务。唐家庄、董家村、青杨寨3个村班子凝聚力、战斗力明显增强，已经完成转化任务，其中青杨寨村弘扬孝道文化、敬老爱老的做法受到了上级组织部门的好评和报道。</w:t>
      </w:r>
    </w:p>
    <w:p>
      <w:pPr>
        <w:pStyle w:val="4"/>
        <w:widowControl/>
        <w:shd w:val="clear" w:color="auto" w:fill="FFFFFF"/>
        <w:adjustRightInd w:val="0"/>
        <w:spacing w:before="100" w:after="100"/>
        <w:ind w:firstLine="640" w:firstLineChars="200"/>
        <w:contextualSpacing/>
        <w:rPr>
          <w:rFonts w:ascii="仿宋" w:hAnsi="仿宋" w:eastAsia="仿宋" w:cs="仿宋_GB2312"/>
          <w:color w:val="000000"/>
          <w:kern w:val="2"/>
          <w:sz w:val="32"/>
          <w:szCs w:val="32"/>
          <w:shd w:val="clear" w:color="auto" w:fill="FFFFFF"/>
        </w:rPr>
      </w:pPr>
    </w:p>
    <w:p>
      <w:pPr>
        <w:pStyle w:val="4"/>
        <w:widowControl/>
        <w:shd w:val="clear" w:color="auto" w:fill="FFFFFF"/>
        <w:adjustRightInd w:val="0"/>
        <w:spacing w:before="100" w:after="100"/>
        <w:ind w:firstLine="640" w:firstLineChars="200"/>
        <w:contextualSpacing/>
        <w:rPr>
          <w:rFonts w:ascii="仿宋" w:hAnsi="仿宋" w:eastAsia="仿宋" w:cs="新宋体"/>
          <w:color w:val="000000"/>
          <w:sz w:val="32"/>
          <w:szCs w:val="32"/>
          <w:shd w:val="clear" w:color="auto" w:fill="FFFFFF"/>
        </w:rPr>
      </w:pPr>
      <w:r>
        <w:rPr>
          <w:rFonts w:hint="eastAsia" w:ascii="仿宋" w:hAnsi="仿宋" w:eastAsia="仿宋" w:cs="新宋体"/>
          <w:color w:val="000000"/>
          <w:sz w:val="32"/>
          <w:szCs w:val="32"/>
          <w:shd w:val="clear" w:color="auto" w:fill="FFFFFF"/>
        </w:rPr>
        <w:t>七、其他重要事项的说明</w:t>
      </w:r>
    </w:p>
    <w:p>
      <w:pPr>
        <w:pStyle w:val="4"/>
        <w:widowControl/>
        <w:shd w:val="clear" w:color="auto" w:fill="FFFFFF"/>
        <w:adjustRightInd w:val="0"/>
        <w:spacing w:before="100" w:after="100"/>
        <w:ind w:firstLine="480" w:firstLineChars="150"/>
        <w:contextualSpacing/>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（一）会议费支出情况</w:t>
      </w:r>
    </w:p>
    <w:p>
      <w:pPr>
        <w:pStyle w:val="4"/>
        <w:widowControl/>
        <w:shd w:val="clear" w:color="auto" w:fill="FFFFFF"/>
        <w:adjustRightInd w:val="0"/>
        <w:spacing w:before="100" w:after="100"/>
        <w:ind w:firstLine="640" w:firstLineChars="200"/>
        <w:contextualSpacing/>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2017年会议费支出为0万元，</w:t>
      </w:r>
      <w:r>
        <w:rPr>
          <w:rFonts w:hint="eastAsia" w:ascii="仿宋" w:hAnsi="仿宋" w:eastAsia="仿宋" w:cs="仿宋_GB2312"/>
          <w:sz w:val="32"/>
          <w:szCs w:val="32"/>
        </w:rPr>
        <w:t xml:space="preserve">2016年会议费支出为0万元，比上年增加0万元，增幅为0%。 </w:t>
      </w:r>
    </w:p>
    <w:p>
      <w:pPr>
        <w:pStyle w:val="4"/>
        <w:widowControl/>
        <w:shd w:val="clear" w:color="auto" w:fill="FFFFFF"/>
        <w:adjustRightInd w:val="0"/>
        <w:spacing w:before="100" w:after="100"/>
        <w:ind w:firstLine="480" w:firstLineChars="150"/>
        <w:contextualSpacing/>
        <w:rPr>
          <w:rFonts w:ascii="仿宋" w:hAnsi="仿宋" w:eastAsia="仿宋" w:cs="仿宋_GB2312"/>
          <w:sz w:val="32"/>
          <w:szCs w:val="32"/>
        </w:rPr>
      </w:pPr>
      <w:r>
        <w:rPr>
          <w:rFonts w:hint="eastAsia" w:ascii="仿宋" w:hAnsi="仿宋" w:eastAsia="仿宋" w:cs="仿宋_GB2312"/>
          <w:sz w:val="32"/>
          <w:szCs w:val="32"/>
        </w:rPr>
        <w:t>（二）培训费支出情况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2017年培训费支出为0万元，2016年培训费支出为0万元，较上年增加0万元。</w:t>
      </w:r>
    </w:p>
    <w:p>
      <w:pPr>
        <w:numPr>
          <w:ilvl w:val="0"/>
          <w:numId w:val="12"/>
        </w:numPr>
        <w:adjustRightInd w:val="0"/>
        <w:spacing w:before="100" w:beforeAutospacing="1" w:after="100" w:afterAutospacing="1"/>
        <w:ind w:firstLine="640" w:firstLineChars="200"/>
        <w:contextualSpacing/>
        <w:rPr>
          <w:rFonts w:ascii="仿宋" w:hAnsi="仿宋" w:eastAsia="仿宋" w:cs="仿宋_GB2312"/>
          <w:color w:val="FF0000"/>
          <w:sz w:val="32"/>
          <w:szCs w:val="32"/>
        </w:rPr>
      </w:pPr>
      <w:r>
        <w:rPr>
          <w:rFonts w:hint="eastAsia" w:ascii="仿宋" w:hAnsi="仿宋" w:eastAsia="仿宋" w:cs="仿宋_GB2312"/>
          <w:color w:val="FF0000"/>
          <w:sz w:val="32"/>
          <w:szCs w:val="32"/>
        </w:rPr>
        <w:t>机关运行经费情况</w:t>
      </w:r>
    </w:p>
    <w:p>
      <w:pPr>
        <w:adjustRightInd w:val="0"/>
        <w:spacing w:before="100" w:beforeAutospacing="1" w:after="100" w:afterAutospacing="1"/>
        <w:ind w:firstLine="640" w:firstLineChars="200"/>
        <w:contextualSpacing/>
        <w:rPr>
          <w:rFonts w:ascii="仿宋" w:hAnsi="仿宋" w:eastAsia="仿宋" w:cs="仿宋_GB2312"/>
          <w:color w:val="FF0000"/>
          <w:sz w:val="32"/>
          <w:szCs w:val="32"/>
        </w:rPr>
      </w:pPr>
      <w:r>
        <w:rPr>
          <w:rFonts w:hint="eastAsia" w:ascii="仿宋" w:hAnsi="仿宋" w:eastAsia="仿宋" w:cs="仿宋_GB2312"/>
          <w:color w:val="FF0000"/>
          <w:sz w:val="32"/>
          <w:szCs w:val="32"/>
        </w:rPr>
        <w:t xml:space="preserve"> 2017年机关运行经费支出282.56万元，2016年机关运行经费支出222.47万元，较上年增加60.08万元，增幅为27%。因</w:t>
      </w:r>
      <w:r>
        <w:rPr>
          <w:rFonts w:hint="eastAsia" w:ascii="仿宋" w:hAnsi="仿宋" w:eastAsia="仿宋" w:cs="仿宋_GB2312"/>
          <w:color w:val="FF0000"/>
          <w:sz w:val="32"/>
          <w:szCs w:val="32"/>
          <w:lang w:eastAsia="zh-CN"/>
        </w:rPr>
        <w:t>乡镇合并人员增加</w:t>
      </w:r>
      <w:r>
        <w:rPr>
          <w:rFonts w:hint="eastAsia" w:ascii="仿宋" w:hAnsi="仿宋" w:eastAsia="仿宋" w:cs="仿宋_GB2312"/>
          <w:color w:val="FF0000"/>
          <w:sz w:val="32"/>
          <w:szCs w:val="32"/>
        </w:rPr>
        <w:t>。</w:t>
      </w:r>
    </w:p>
    <w:p>
      <w:pPr>
        <w:numPr>
          <w:ilvl w:val="0"/>
          <w:numId w:val="12"/>
        </w:num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政府采购情况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2017年我镇政府采购95.9万元。</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（五）国有资产占用情况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截止2017年12月31日，本部门共有车辆2辆，其中一般公务用车2辆。</w:t>
      </w:r>
    </w:p>
    <w:p>
      <w:pPr>
        <w:pStyle w:val="4"/>
        <w:widowControl/>
        <w:shd w:val="clear" w:color="auto" w:fill="F8F8F8"/>
        <w:spacing w:before="100" w:after="100"/>
        <w:ind w:firstLine="707" w:firstLineChars="221"/>
        <w:contextualSpacing/>
        <w:rPr>
          <w:rFonts w:ascii="仿宋" w:hAnsi="仿宋" w:eastAsia="仿宋" w:cs="仿宋_GB2312"/>
          <w:sz w:val="32"/>
          <w:szCs w:val="32"/>
        </w:rPr>
      </w:pPr>
      <w:r>
        <w:rPr>
          <w:rFonts w:ascii="仿宋" w:hAnsi="仿宋" w:eastAsia="仿宋" w:cs="仿宋_GB2312"/>
          <w:sz w:val="32"/>
          <w:szCs w:val="32"/>
        </w:rPr>
        <w:t>2017年末</w:t>
      </w:r>
      <w:r>
        <w:rPr>
          <w:rFonts w:hint="eastAsia" w:ascii="仿宋" w:hAnsi="仿宋" w:eastAsia="仿宋" w:cs="仿宋_GB2312"/>
          <w:sz w:val="32"/>
          <w:szCs w:val="32"/>
        </w:rPr>
        <w:t>单位</w:t>
      </w:r>
      <w:r>
        <w:rPr>
          <w:rFonts w:ascii="仿宋" w:hAnsi="仿宋" w:eastAsia="仿宋" w:cs="仿宋_GB2312"/>
          <w:sz w:val="32"/>
          <w:szCs w:val="32"/>
        </w:rPr>
        <w:t>资产</w:t>
      </w:r>
      <w:r>
        <w:rPr>
          <w:rFonts w:hint="eastAsia" w:ascii="仿宋" w:hAnsi="仿宋" w:eastAsia="仿宋" w:cs="仿宋_GB2312"/>
          <w:sz w:val="32"/>
          <w:szCs w:val="32"/>
        </w:rPr>
        <w:t>540.62万</w:t>
      </w:r>
      <w:r>
        <w:rPr>
          <w:rFonts w:ascii="仿宋" w:hAnsi="仿宋" w:eastAsia="仿宋" w:cs="仿宋_GB2312"/>
          <w:sz w:val="32"/>
          <w:szCs w:val="32"/>
        </w:rPr>
        <w:t>元、201</w:t>
      </w:r>
      <w:r>
        <w:rPr>
          <w:rFonts w:hint="eastAsia" w:ascii="仿宋" w:hAnsi="仿宋" w:eastAsia="仿宋" w:cs="仿宋_GB2312"/>
          <w:sz w:val="32"/>
          <w:szCs w:val="32"/>
        </w:rPr>
        <w:t>6</w:t>
      </w:r>
      <w:r>
        <w:rPr>
          <w:rFonts w:ascii="仿宋" w:hAnsi="仿宋" w:eastAsia="仿宋" w:cs="仿宋_GB2312"/>
          <w:sz w:val="32"/>
          <w:szCs w:val="32"/>
        </w:rPr>
        <w:t>年末</w:t>
      </w:r>
      <w:r>
        <w:rPr>
          <w:rFonts w:hint="eastAsia" w:ascii="仿宋" w:hAnsi="仿宋" w:eastAsia="仿宋" w:cs="仿宋_GB2312"/>
          <w:sz w:val="32"/>
          <w:szCs w:val="32"/>
        </w:rPr>
        <w:t>单位</w:t>
      </w:r>
      <w:r>
        <w:rPr>
          <w:rFonts w:ascii="仿宋" w:hAnsi="仿宋" w:eastAsia="仿宋" w:cs="仿宋_GB2312"/>
          <w:sz w:val="32"/>
          <w:szCs w:val="32"/>
        </w:rPr>
        <w:t>资产</w:t>
      </w:r>
      <w:r>
        <w:rPr>
          <w:rFonts w:hint="eastAsia" w:ascii="仿宋" w:hAnsi="仿宋" w:eastAsia="仿宋" w:cs="仿宋_GB2312"/>
          <w:sz w:val="32"/>
          <w:szCs w:val="32"/>
        </w:rPr>
        <w:t>522.84万</w:t>
      </w:r>
      <w:r>
        <w:rPr>
          <w:rFonts w:ascii="仿宋" w:hAnsi="仿宋" w:eastAsia="仿宋" w:cs="仿宋_GB2312"/>
          <w:sz w:val="32"/>
          <w:szCs w:val="32"/>
        </w:rPr>
        <w:t>元,比上年</w:t>
      </w:r>
      <w:r>
        <w:rPr>
          <w:rFonts w:hint="eastAsia" w:ascii="仿宋" w:hAnsi="仿宋" w:eastAsia="仿宋" w:cs="仿宋_GB2312"/>
          <w:sz w:val="32"/>
          <w:szCs w:val="32"/>
        </w:rPr>
        <w:t>增加3.4</w:t>
      </w:r>
      <w:r>
        <w:rPr>
          <w:rFonts w:ascii="仿宋" w:hAnsi="仿宋" w:eastAsia="仿宋" w:cs="仿宋_GB2312"/>
          <w:sz w:val="32"/>
          <w:szCs w:val="32"/>
        </w:rPr>
        <w:t>％。</w:t>
      </w:r>
      <w:r>
        <w:rPr>
          <w:rFonts w:hint="eastAsia" w:ascii="仿宋" w:hAnsi="仿宋" w:eastAsia="仿宋" w:cs="仿宋_GB2312"/>
          <w:sz w:val="32"/>
          <w:szCs w:val="32"/>
        </w:rPr>
        <w:t>年末资产中，流动资产54.87万元，固定资产485.75万元。固定资产中，房屋293.17万元、车辆32.9万元、其他固定资产159.68万元（主要为通用设备、专用设备、办公家具及用具装具等）。</w:t>
      </w:r>
    </w:p>
    <w:p>
      <w:pPr>
        <w:numPr>
          <w:ilvl w:val="0"/>
          <w:numId w:val="13"/>
        </w:num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资产负债情况</w:t>
      </w:r>
    </w:p>
    <w:p>
      <w:pPr>
        <w:adjustRightInd w:val="0"/>
        <w:spacing w:before="100" w:beforeAutospacing="1" w:after="100" w:afterAutospacing="1"/>
        <w:ind w:firstLine="707" w:firstLineChars="221"/>
        <w:contextualSpacing/>
        <w:rPr>
          <w:rFonts w:ascii="仿宋" w:hAnsi="仿宋" w:eastAsia="仿宋" w:cs="仿宋_GB2312"/>
          <w:sz w:val="32"/>
          <w:szCs w:val="32"/>
        </w:rPr>
      </w:pPr>
      <w:r>
        <w:rPr>
          <w:rFonts w:hint="eastAsia" w:ascii="仿宋" w:hAnsi="仿宋" w:eastAsia="仿宋" w:cs="仿宋_GB2312"/>
          <w:sz w:val="32"/>
          <w:szCs w:val="32"/>
        </w:rPr>
        <w:t xml:space="preserve"> 1、资产负债结构情况</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 xml:space="preserve"> 2017年，我镇机关总资产为540.62万元，总负债0万元，净资产为540.62万元。较上年相比，资产增加17.7万元， 增幅为3.4%，原因是固定资产的增加；负债为0万元。</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 xml:space="preserve"> 2、资产负债情况分析</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2017年，我镇机关总资产为</w:t>
      </w:r>
      <w:r>
        <w:rPr>
          <w:rFonts w:hint="eastAsia" w:ascii="仿宋" w:hAnsi="仿宋" w:eastAsia="仿宋" w:cs="鐎瑰缍�"/>
          <w:color w:val="000000"/>
          <w:sz w:val="27"/>
          <w:szCs w:val="27"/>
          <w:shd w:val="clear" w:color="auto" w:fill="F8F8F8"/>
        </w:rPr>
        <w:t>540.62</w:t>
      </w:r>
      <w:r>
        <w:rPr>
          <w:rFonts w:hint="eastAsia" w:ascii="仿宋" w:hAnsi="仿宋" w:eastAsia="仿宋" w:cs="仿宋_GB2312"/>
          <w:sz w:val="32"/>
          <w:szCs w:val="32"/>
        </w:rPr>
        <w:t>万元，总负债0万元，净资产为</w:t>
      </w:r>
      <w:r>
        <w:rPr>
          <w:rFonts w:hint="eastAsia" w:ascii="仿宋" w:hAnsi="仿宋" w:eastAsia="仿宋" w:cs="鐎瑰缍�"/>
          <w:color w:val="000000"/>
          <w:sz w:val="27"/>
          <w:szCs w:val="27"/>
          <w:shd w:val="clear" w:color="auto" w:fill="F8F8F8"/>
        </w:rPr>
        <w:t>540.62</w:t>
      </w:r>
      <w:r>
        <w:rPr>
          <w:rFonts w:hint="eastAsia" w:ascii="仿宋" w:hAnsi="仿宋" w:eastAsia="仿宋" w:cs="仿宋_GB2312"/>
          <w:sz w:val="32"/>
          <w:szCs w:val="32"/>
        </w:rPr>
        <w:t>万元。较上年相比，资产增加17.7万元， 增幅为3.4%，原因是固定资产的增加；负债为0万元。</w:t>
      </w:r>
    </w:p>
    <w:p>
      <w:pPr>
        <w:numPr>
          <w:ilvl w:val="0"/>
          <w:numId w:val="14"/>
        </w:numPr>
        <w:adjustRightInd w:val="0"/>
        <w:spacing w:before="100" w:beforeAutospacing="1" w:after="100" w:afterAutospacing="1"/>
        <w:ind w:firstLine="640" w:firstLineChars="200"/>
        <w:contextualSpacing/>
        <w:rPr>
          <w:rFonts w:ascii="仿宋" w:hAnsi="仿宋" w:eastAsia="仿宋" w:cs="新宋体"/>
          <w:sz w:val="32"/>
          <w:szCs w:val="32"/>
        </w:rPr>
      </w:pPr>
      <w:r>
        <w:rPr>
          <w:rFonts w:hint="eastAsia" w:ascii="仿宋" w:hAnsi="仿宋" w:eastAsia="仿宋" w:cs="新宋体"/>
          <w:sz w:val="32"/>
          <w:szCs w:val="32"/>
        </w:rPr>
        <w:t>其他需要说明的问题</w:t>
      </w:r>
    </w:p>
    <w:p>
      <w:pPr>
        <w:adjustRightInd w:val="0"/>
        <w:spacing w:before="100" w:beforeAutospacing="1" w:after="100" w:afterAutospacing="1"/>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我单位不涉及《政府性基金预算财政拨款收入支出决算表》 和《国有资本经营预算财政拨款收入支出决算表》，因此均为空表。</w:t>
      </w:r>
    </w:p>
    <w:p>
      <w:pPr>
        <w:widowControl/>
        <w:jc w:val="left"/>
        <w:rPr>
          <w:rFonts w:ascii="仿宋" w:hAnsi="仿宋" w:eastAsia="仿宋" w:cstheme="majorEastAsia"/>
          <w:b/>
          <w:bCs/>
          <w:sz w:val="32"/>
          <w:szCs w:val="32"/>
        </w:rPr>
      </w:pPr>
      <w:r>
        <w:rPr>
          <w:rFonts w:ascii="仿宋" w:hAnsi="仿宋" w:eastAsia="仿宋" w:cstheme="majorEastAsia"/>
          <w:b/>
          <w:bCs/>
          <w:sz w:val="32"/>
          <w:szCs w:val="32"/>
        </w:rPr>
        <w:br w:type="page"/>
      </w:r>
    </w:p>
    <w:p>
      <w:pPr>
        <w:adjustRightInd w:val="0"/>
        <w:snapToGrid w:val="0"/>
        <w:spacing w:line="360" w:lineRule="auto"/>
        <w:jc w:val="center"/>
        <w:rPr>
          <w:rFonts w:ascii="仿宋" w:hAnsi="仿宋" w:eastAsia="仿宋" w:cstheme="majorEastAsia"/>
          <w:b/>
          <w:bCs/>
          <w:sz w:val="32"/>
          <w:szCs w:val="32"/>
        </w:rPr>
      </w:pPr>
      <w:r>
        <w:rPr>
          <w:rFonts w:hint="eastAsia" w:ascii="仿宋" w:hAnsi="仿宋" w:eastAsia="仿宋" w:cstheme="majorEastAsia"/>
          <w:b/>
          <w:bCs/>
          <w:sz w:val="32"/>
          <w:szCs w:val="32"/>
        </w:rPr>
        <w:t>第四部分  名词解释</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财政拨款收入：本年度从本级财政部门取得的财政拨款，包括一般公共预算财政拨款和政府性基金预算财政拨款。 </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事业收入：指事业单位开展专业业务活动及辅助活动所 取得的收入。</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其他收入：指除上述“财政拨款收入”、“事业收入”、 “经营收入”等以外的收入。</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用事业基金弥补收支差额：指事业单位在用当年的“财 政拨款收入”、“财政拨款结转和结余资金”、“事业收入”、“经营收入”、“其他收入”不足以安排当年支出的情况下，使用以前年 度积累的事业基金（事业单位当年收支相抵后按国家规定提取、用于弥补以后年度收支差额的基金）弥补本年度收支缺口的资金。</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年初结转和结余：指以前年度尚未完成、结转到本年仍 按原规定用途继续使用的资金，或项目已完成等产生的结余资金。</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结余分配：指事业单位按照事业单位会计制度的规定从 非财政补助结余中分配的事业基金和职工福利基金等。</w:t>
      </w:r>
    </w:p>
    <w:p>
      <w:pPr>
        <w:numPr>
          <w:ilvl w:val="0"/>
          <w:numId w:val="15"/>
        </w:num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年末结转和结余：指单位按有关规定结转到下年或以后 年度继续使用的资金，或项目已完成等产生的结余资金。</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八、基本支出：填列单位为保障机构正常运转、完成日常工 作任务而发生的各项支出。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九、项目支出：填列单位为完成特定的行政工作任务或事业 发展目标，在基本支出之外发生的各项支出。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十、基本建设支出：填列由本级发展与改革部门集中安排的 用于购置固定资产、战略性和应急性储备、土地和无形资产，以及购建基础设施、大型修缮所发生的一般公共预算财政拨款支出，不包括政府性基金、财政专户管理资金以及各类拼盘自筹资金等。</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十一、其他资本性支出：填列由各级非发展与改革部门集中 安排的用于购置固定资产、战备性和应急性储备、土地和无形资产，以及购建基础设施、大型修缮和财政支持企业更新改造所发 生的支出。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十二、“三公”经费：指部门用财政拨款安排的因公出国（境） 费、公务用车购置及运行费和公务接待费。其中，因公出国（境） 费反映单位公务出国（境）的国际旅费、国外城市间交通费、住宿费、伙食费、培训费、公杂费等支出；公务用车购置及运行费 反映单位公务用车购置支出（含车辆购置税）及租用费、燃料费、维修费、过路过桥费、保险费、安全奖励费用等支出；公务接待 费反映单位按规定开支的各类公务接待（含外宾接待）支出。</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十三、其他交通费用：填列单位除公务用车运行维护费以外 的其他交通费用。如飞机、船舶等的燃料费、维修费、过桥过路 38 费、保险费、出租车费用、公务交通补贴等。</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十四、公务用车购置：填列单位公务用车车辆购置支出（含 车辆购置税）。</w:t>
      </w:r>
    </w:p>
    <w:p>
      <w:pPr>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十五、其他交通工具购置：填列单位除公务用车外的其他各 类交通工具（如船舶、飞机）购置支出（含车辆购置税）。</w:t>
      </w:r>
    </w:p>
    <w:p>
      <w:pPr>
        <w:adjustRightInd w:val="0"/>
        <w:snapToGrid w:val="0"/>
        <w:spacing w:line="360" w:lineRule="auto"/>
        <w:ind w:firstLine="640" w:firstLineChars="200"/>
        <w:rPr>
          <w:rFonts w:ascii="仿宋" w:hAnsi="仿宋" w:eastAsia="仿宋" w:cs="仿宋_GB2312"/>
          <w:b/>
          <w:bCs/>
          <w:sz w:val="32"/>
          <w:szCs w:val="32"/>
        </w:rPr>
      </w:pPr>
      <w:r>
        <w:rPr>
          <w:rFonts w:hint="eastAsia" w:ascii="仿宋" w:hAnsi="仿宋" w:eastAsia="仿宋" w:cs="仿宋_GB2312"/>
          <w:sz w:val="32"/>
          <w:szCs w:val="32"/>
        </w:rPr>
        <w:t>十六、机关运行经费：指为保障行政单位（包括参照公务员 法管理的事业单位）运行用于购买货物和服务的各项资金，包括 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宋体"/>
    <w:panose1 w:val="020B0503020204020204"/>
    <w:charset w:val="86"/>
    <w:family w:val="swiss"/>
    <w:pitch w:val="default"/>
    <w:sig w:usb0="00000000" w:usb1="00000000" w:usb2="00000016" w:usb3="00000000" w:csb0="0004001F" w:csb1="00000000"/>
  </w:font>
  <w:font w:name="楷体_GB2312">
    <w:altName w:val="宋体"/>
    <w:panose1 w:val="02010609030101010101"/>
    <w:charset w:val="86"/>
    <w:family w:val="modern"/>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鐎瑰缍�">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CRJLcBAABUAwAADgAAAGRycy9lMm9Eb2MueG1srVPBjtMwEL0j8Q+W&#10;7zTZo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WMvszxDwIay7gPlpfEtjDl18iM5M+tRR5e/xIdR&#10;nIQ+XsRVY2IyP1otV6uaQpJi84VwqofnIWJ6p8CxbLQ80vSKqOLwAdM5dU7J1TzcGWvJLxrr2dDy&#10;19fL6/LgEiFw66lGJnFuNltp3I4Tgy10RyI20Aa03NOKcmbfexI4L8tsxNnYzsY+RLPryzbl8hje&#10;7BN1U5rMFc6wU2EaXaE5rVnejb/vJevh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s&#10;YJEk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1D1E"/>
    <w:multiLevelType w:val="multilevel"/>
    <w:tmpl w:val="43E01D1E"/>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37F720A"/>
    <w:multiLevelType w:val="multilevel"/>
    <w:tmpl w:val="537F720A"/>
    <w:lvl w:ilvl="0" w:tentative="0">
      <w:start w:val="1"/>
      <w:numFmt w:val="decimal"/>
      <w:lvlText w:val="%1、"/>
      <w:lvlJc w:val="left"/>
      <w:pPr>
        <w:ind w:left="1047" w:hanging="4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5B6A6249"/>
    <w:multiLevelType w:val="singleLevel"/>
    <w:tmpl w:val="5B6A6249"/>
    <w:lvl w:ilvl="0" w:tentative="0">
      <w:start w:val="1"/>
      <w:numFmt w:val="chineseCounting"/>
      <w:suff w:val="nothing"/>
      <w:lvlText w:val="%1、"/>
      <w:lvlJc w:val="left"/>
    </w:lvl>
  </w:abstractNum>
  <w:abstractNum w:abstractNumId="3">
    <w:nsid w:val="5B6BA373"/>
    <w:multiLevelType w:val="singleLevel"/>
    <w:tmpl w:val="5B6BA373"/>
    <w:lvl w:ilvl="0" w:tentative="0">
      <w:start w:val="1"/>
      <w:numFmt w:val="chineseCounting"/>
      <w:suff w:val="nothing"/>
      <w:lvlText w:val="%1、"/>
      <w:lvlJc w:val="left"/>
    </w:lvl>
  </w:abstractNum>
  <w:abstractNum w:abstractNumId="4">
    <w:nsid w:val="5B6BA656"/>
    <w:multiLevelType w:val="singleLevel"/>
    <w:tmpl w:val="5B6BA656"/>
    <w:lvl w:ilvl="0" w:tentative="0">
      <w:start w:val="1"/>
      <w:numFmt w:val="chineseCounting"/>
      <w:suff w:val="nothing"/>
      <w:lvlText w:val="%1、"/>
      <w:lvlJc w:val="left"/>
    </w:lvl>
  </w:abstractNum>
  <w:abstractNum w:abstractNumId="5">
    <w:nsid w:val="5B6BFCFC"/>
    <w:multiLevelType w:val="singleLevel"/>
    <w:tmpl w:val="5B6BFCFC"/>
    <w:lvl w:ilvl="0" w:tentative="0">
      <w:start w:val="2"/>
      <w:numFmt w:val="chineseCounting"/>
      <w:suff w:val="nothing"/>
      <w:lvlText w:val="（%1）"/>
      <w:lvlJc w:val="left"/>
    </w:lvl>
  </w:abstractNum>
  <w:abstractNum w:abstractNumId="6">
    <w:nsid w:val="5B6C0502"/>
    <w:multiLevelType w:val="singleLevel"/>
    <w:tmpl w:val="5B6C0502"/>
    <w:lvl w:ilvl="0" w:tentative="0">
      <w:start w:val="5"/>
      <w:numFmt w:val="chineseCounting"/>
      <w:suff w:val="nothing"/>
      <w:lvlText w:val="%1、"/>
      <w:lvlJc w:val="left"/>
    </w:lvl>
  </w:abstractNum>
  <w:abstractNum w:abstractNumId="7">
    <w:nsid w:val="5B6C06EC"/>
    <w:multiLevelType w:val="singleLevel"/>
    <w:tmpl w:val="5B6C06EC"/>
    <w:lvl w:ilvl="0" w:tentative="0">
      <w:start w:val="1"/>
      <w:numFmt w:val="chineseCounting"/>
      <w:suff w:val="nothing"/>
      <w:lvlText w:val="（%1）"/>
      <w:lvlJc w:val="left"/>
    </w:lvl>
  </w:abstractNum>
  <w:abstractNum w:abstractNumId="8">
    <w:nsid w:val="5B6C0C78"/>
    <w:multiLevelType w:val="singleLevel"/>
    <w:tmpl w:val="5B6C0C78"/>
    <w:lvl w:ilvl="0" w:tentative="0">
      <w:start w:val="6"/>
      <w:numFmt w:val="chineseCounting"/>
      <w:suff w:val="nothing"/>
      <w:lvlText w:val="%1、"/>
      <w:lvlJc w:val="left"/>
    </w:lvl>
  </w:abstractNum>
  <w:abstractNum w:abstractNumId="9">
    <w:nsid w:val="5B6C0F20"/>
    <w:multiLevelType w:val="singleLevel"/>
    <w:tmpl w:val="5B6C0F20"/>
    <w:lvl w:ilvl="0" w:tentative="0">
      <w:start w:val="2"/>
      <w:numFmt w:val="chineseCounting"/>
      <w:suff w:val="nothing"/>
      <w:lvlText w:val="（%1）"/>
      <w:lvlJc w:val="left"/>
    </w:lvl>
  </w:abstractNum>
  <w:abstractNum w:abstractNumId="10">
    <w:nsid w:val="5B6C0FA3"/>
    <w:multiLevelType w:val="singleLevel"/>
    <w:tmpl w:val="5B6C0FA3"/>
    <w:lvl w:ilvl="0" w:tentative="0">
      <w:start w:val="1"/>
      <w:numFmt w:val="decimal"/>
      <w:suff w:val="nothing"/>
      <w:lvlText w:val="%1、"/>
      <w:lvlJc w:val="left"/>
    </w:lvl>
  </w:abstractNum>
  <w:abstractNum w:abstractNumId="11">
    <w:nsid w:val="5B6C198B"/>
    <w:multiLevelType w:val="singleLevel"/>
    <w:tmpl w:val="5B6C198B"/>
    <w:lvl w:ilvl="0" w:tentative="0">
      <w:start w:val="3"/>
      <w:numFmt w:val="chineseCounting"/>
      <w:suff w:val="nothing"/>
      <w:lvlText w:val="（%1）"/>
      <w:lvlJc w:val="left"/>
    </w:lvl>
  </w:abstractNum>
  <w:abstractNum w:abstractNumId="12">
    <w:nsid w:val="5B6C1E0D"/>
    <w:multiLevelType w:val="singleLevel"/>
    <w:tmpl w:val="5B6C1E0D"/>
    <w:lvl w:ilvl="0" w:tentative="0">
      <w:start w:val="6"/>
      <w:numFmt w:val="chineseCounting"/>
      <w:suff w:val="nothing"/>
      <w:lvlText w:val="（%1）"/>
      <w:lvlJc w:val="left"/>
    </w:lvl>
  </w:abstractNum>
  <w:abstractNum w:abstractNumId="13">
    <w:nsid w:val="5B6C23F3"/>
    <w:multiLevelType w:val="singleLevel"/>
    <w:tmpl w:val="5B6C23F3"/>
    <w:lvl w:ilvl="0" w:tentative="0">
      <w:start w:val="8"/>
      <w:numFmt w:val="chineseCounting"/>
      <w:suff w:val="nothing"/>
      <w:lvlText w:val="%1、"/>
      <w:lvlJc w:val="left"/>
    </w:lvl>
  </w:abstractNum>
  <w:abstractNum w:abstractNumId="14">
    <w:nsid w:val="5B6C24C3"/>
    <w:multiLevelType w:val="singleLevel"/>
    <w:tmpl w:val="5B6C24C3"/>
    <w:lvl w:ilvl="0" w:tentative="0">
      <w:start w:val="1"/>
      <w:numFmt w:val="chineseCounting"/>
      <w:suff w:val="nothing"/>
      <w:lvlText w:val="%1、"/>
      <w:lvlJc w:val="left"/>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54356"/>
    <w:rsid w:val="00103CD6"/>
    <w:rsid w:val="00180329"/>
    <w:rsid w:val="001A6ABF"/>
    <w:rsid w:val="002126F4"/>
    <w:rsid w:val="00346DA4"/>
    <w:rsid w:val="00497180"/>
    <w:rsid w:val="004D419B"/>
    <w:rsid w:val="004F4D48"/>
    <w:rsid w:val="00510362"/>
    <w:rsid w:val="00537010"/>
    <w:rsid w:val="005813B7"/>
    <w:rsid w:val="005E3B85"/>
    <w:rsid w:val="00680587"/>
    <w:rsid w:val="00767673"/>
    <w:rsid w:val="00814DE7"/>
    <w:rsid w:val="00867080"/>
    <w:rsid w:val="009043F1"/>
    <w:rsid w:val="009F07AE"/>
    <w:rsid w:val="00A61565"/>
    <w:rsid w:val="00AF584D"/>
    <w:rsid w:val="00B629DD"/>
    <w:rsid w:val="00B97E46"/>
    <w:rsid w:val="00BD2E22"/>
    <w:rsid w:val="00BE49DF"/>
    <w:rsid w:val="00BF30E4"/>
    <w:rsid w:val="00CF33E9"/>
    <w:rsid w:val="00D3073F"/>
    <w:rsid w:val="00D4471C"/>
    <w:rsid w:val="00D63F4B"/>
    <w:rsid w:val="00D877B8"/>
    <w:rsid w:val="00DA325E"/>
    <w:rsid w:val="00E3005A"/>
    <w:rsid w:val="00E57EC6"/>
    <w:rsid w:val="00E85925"/>
    <w:rsid w:val="00EE5BAE"/>
    <w:rsid w:val="00F4088E"/>
    <w:rsid w:val="00F7378D"/>
    <w:rsid w:val="00F92377"/>
    <w:rsid w:val="00FD11E4"/>
    <w:rsid w:val="018F6D8B"/>
    <w:rsid w:val="03795CE6"/>
    <w:rsid w:val="06194023"/>
    <w:rsid w:val="063A7ED7"/>
    <w:rsid w:val="066D430C"/>
    <w:rsid w:val="08FF1A13"/>
    <w:rsid w:val="0AE74A9E"/>
    <w:rsid w:val="0B3C60D7"/>
    <w:rsid w:val="0B8F41AA"/>
    <w:rsid w:val="0EF83D82"/>
    <w:rsid w:val="13FA6BA0"/>
    <w:rsid w:val="154C251B"/>
    <w:rsid w:val="156A5A62"/>
    <w:rsid w:val="16A05755"/>
    <w:rsid w:val="175354F6"/>
    <w:rsid w:val="178D0DA6"/>
    <w:rsid w:val="18542C2C"/>
    <w:rsid w:val="19AF6819"/>
    <w:rsid w:val="1AAA4A96"/>
    <w:rsid w:val="1AAC0579"/>
    <w:rsid w:val="1B1B50D8"/>
    <w:rsid w:val="1B8703E5"/>
    <w:rsid w:val="211F6F42"/>
    <w:rsid w:val="242B68BD"/>
    <w:rsid w:val="249F7974"/>
    <w:rsid w:val="24D90E0E"/>
    <w:rsid w:val="27566061"/>
    <w:rsid w:val="280B27F4"/>
    <w:rsid w:val="288B507C"/>
    <w:rsid w:val="2C844552"/>
    <w:rsid w:val="2F0B693F"/>
    <w:rsid w:val="2F424674"/>
    <w:rsid w:val="307A4D17"/>
    <w:rsid w:val="317E0ED1"/>
    <w:rsid w:val="31826027"/>
    <w:rsid w:val="33020CB8"/>
    <w:rsid w:val="34C54356"/>
    <w:rsid w:val="370F2025"/>
    <w:rsid w:val="37B4371B"/>
    <w:rsid w:val="38555E14"/>
    <w:rsid w:val="38667CBA"/>
    <w:rsid w:val="3A8158CC"/>
    <w:rsid w:val="3DAC4792"/>
    <w:rsid w:val="3F6841AE"/>
    <w:rsid w:val="3FE7363B"/>
    <w:rsid w:val="42C678B3"/>
    <w:rsid w:val="43895888"/>
    <w:rsid w:val="46235E03"/>
    <w:rsid w:val="4A03128D"/>
    <w:rsid w:val="4A535616"/>
    <w:rsid w:val="4A6064BB"/>
    <w:rsid w:val="4E370D57"/>
    <w:rsid w:val="4E9D5EAE"/>
    <w:rsid w:val="4ECB12F4"/>
    <w:rsid w:val="500C3DD8"/>
    <w:rsid w:val="53FD7EB4"/>
    <w:rsid w:val="54F769C8"/>
    <w:rsid w:val="55425CF0"/>
    <w:rsid w:val="58BB7975"/>
    <w:rsid w:val="5B58496B"/>
    <w:rsid w:val="5B60124B"/>
    <w:rsid w:val="5CEE2916"/>
    <w:rsid w:val="5DBA3224"/>
    <w:rsid w:val="5EF30C67"/>
    <w:rsid w:val="5FB24942"/>
    <w:rsid w:val="61287A15"/>
    <w:rsid w:val="66061FD6"/>
    <w:rsid w:val="69156D2A"/>
    <w:rsid w:val="6C020FDF"/>
    <w:rsid w:val="707740EF"/>
    <w:rsid w:val="731D0281"/>
    <w:rsid w:val="776C1C90"/>
    <w:rsid w:val="799D6C33"/>
    <w:rsid w:val="7A3C5B65"/>
    <w:rsid w:val="7ADE3A29"/>
    <w:rsid w:val="7BB02EA5"/>
    <w:rsid w:val="7F3F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 w:type="paragraph" w:customStyle="1" w:styleId="12">
    <w:name w:val="List Paragraph"/>
    <w:basedOn w:val="1"/>
    <w:qFormat/>
    <w:uiPriority w:val="99"/>
    <w:pPr>
      <w:ind w:firstLine="420" w:firstLineChars="200"/>
    </w:pPr>
  </w:style>
  <w:style w:type="paragraph" w:customStyle="1" w:styleId="13">
    <w:name w:val="_Style 23"/>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146E8-E9A7-4BD3-8C81-2F948285A9B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12475</Words>
  <Characters>10052</Characters>
  <Lines>83</Lines>
  <Paragraphs>44</Paragraphs>
  <TotalTime>0</TotalTime>
  <ScaleCrop>false</ScaleCrop>
  <LinksUpToDate>false</LinksUpToDate>
  <CharactersWithSpaces>22483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2018-08-08T00:21:00Z</dcterms:created>
  <dc:creator>ljz</dc:creator>
  <cp:lastModifiedBy>Administrator</cp:lastModifiedBy>
  <cp:lastPrinted>2019-03-08T09:26:00Z</cp:lastPrinted>
  <dcterms:modified xsi:type="dcterms:W3CDTF">2018-10-26T07:46:42Z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