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52"/>
          <w:szCs w:val="52"/>
          <w:shd w:val="clear" w:color="auto" w:fill="FFFFFF"/>
        </w:rPr>
      </w:pPr>
      <w:bookmarkStart w:id="0" w:name="_GoBack"/>
      <w:bookmarkEnd w:id="0"/>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52"/>
          <w:szCs w:val="52"/>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52"/>
          <w:szCs w:val="52"/>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52"/>
          <w:szCs w:val="52"/>
          <w:shd w:val="clear" w:color="auto" w:fill="FFFFFF"/>
        </w:rPr>
      </w:pPr>
    </w:p>
    <w:p>
      <w:pPr>
        <w:pStyle w:val="4"/>
        <w:widowControl/>
        <w:shd w:val="clear" w:color="auto" w:fill="FFFFFF"/>
        <w:adjustRightInd w:val="0"/>
        <w:snapToGrid w:val="0"/>
        <w:spacing w:beforeAutospacing="0" w:afterAutospacing="0"/>
        <w:jc w:val="center"/>
        <w:rPr>
          <w:rStyle w:val="6"/>
          <w:rFonts w:cs="宋体" w:asciiTheme="majorEastAsia" w:hAnsiTheme="majorEastAsia" w:eastAsiaTheme="majorEastAsia"/>
          <w:color w:val="000000"/>
          <w:sz w:val="52"/>
          <w:szCs w:val="52"/>
          <w:shd w:val="clear" w:color="auto" w:fill="FFFFFF"/>
        </w:rPr>
      </w:pPr>
      <w:r>
        <w:rPr>
          <w:rStyle w:val="6"/>
          <w:rFonts w:cs="宋体" w:asciiTheme="majorEastAsia" w:hAnsiTheme="majorEastAsia" w:eastAsiaTheme="majorEastAsia"/>
          <w:color w:val="000000"/>
          <w:sz w:val="52"/>
          <w:szCs w:val="52"/>
          <w:shd w:val="clear" w:color="auto" w:fill="FFFFFF"/>
        </w:rPr>
        <w:t>201</w:t>
      </w:r>
      <w:r>
        <w:rPr>
          <w:rStyle w:val="6"/>
          <w:rFonts w:hint="eastAsia" w:cs="宋体" w:asciiTheme="majorEastAsia" w:hAnsiTheme="majorEastAsia" w:eastAsiaTheme="majorEastAsia"/>
          <w:color w:val="000000"/>
          <w:sz w:val="52"/>
          <w:szCs w:val="52"/>
          <w:shd w:val="clear" w:color="auto" w:fill="FFFFFF"/>
        </w:rPr>
        <w:t>7</w:t>
      </w:r>
      <w:r>
        <w:rPr>
          <w:rStyle w:val="6"/>
          <w:rFonts w:cs="宋体" w:asciiTheme="majorEastAsia" w:hAnsiTheme="majorEastAsia" w:eastAsiaTheme="majorEastAsia"/>
          <w:color w:val="000000"/>
          <w:sz w:val="52"/>
          <w:szCs w:val="52"/>
          <w:shd w:val="clear" w:color="auto" w:fill="FFFFFF"/>
        </w:rPr>
        <w:t>年度</w:t>
      </w:r>
    </w:p>
    <w:p>
      <w:pPr>
        <w:pStyle w:val="4"/>
        <w:widowControl/>
        <w:shd w:val="clear" w:color="auto" w:fill="FFFFFF"/>
        <w:adjustRightInd w:val="0"/>
        <w:snapToGrid w:val="0"/>
        <w:spacing w:beforeAutospacing="0" w:afterAutospacing="0"/>
        <w:jc w:val="center"/>
        <w:rPr>
          <w:rStyle w:val="6"/>
          <w:rFonts w:cs="宋体" w:asciiTheme="majorEastAsia" w:hAnsiTheme="majorEastAsia" w:eastAsiaTheme="majorEastAsia"/>
          <w:color w:val="000000"/>
          <w:sz w:val="52"/>
          <w:szCs w:val="52"/>
          <w:shd w:val="clear" w:color="auto" w:fill="FFFFFF"/>
        </w:rPr>
      </w:pPr>
    </w:p>
    <w:p>
      <w:pPr>
        <w:pStyle w:val="4"/>
        <w:widowControl/>
        <w:shd w:val="clear" w:color="auto" w:fill="FFFFFF"/>
        <w:adjustRightInd w:val="0"/>
        <w:snapToGrid w:val="0"/>
        <w:spacing w:beforeAutospacing="0" w:afterAutospacing="0"/>
        <w:jc w:val="center"/>
        <w:rPr>
          <w:rFonts w:cs="宋体" w:asciiTheme="majorEastAsia" w:hAnsiTheme="majorEastAsia" w:eastAsiaTheme="majorEastAsia"/>
          <w:b/>
          <w:color w:val="000000"/>
          <w:sz w:val="52"/>
          <w:szCs w:val="52"/>
        </w:rPr>
      </w:pPr>
      <w:r>
        <w:rPr>
          <w:rStyle w:val="6"/>
          <w:rFonts w:cs="宋体" w:asciiTheme="majorEastAsia" w:hAnsiTheme="majorEastAsia" w:eastAsiaTheme="majorEastAsia"/>
          <w:color w:val="000000"/>
          <w:sz w:val="52"/>
          <w:szCs w:val="52"/>
          <w:shd w:val="clear" w:color="auto" w:fill="FFFFFF"/>
        </w:rPr>
        <w:t>部门决算</w:t>
      </w:r>
      <w:r>
        <w:rPr>
          <w:rStyle w:val="6"/>
          <w:rFonts w:hint="eastAsia" w:cs="宋体" w:asciiTheme="majorEastAsia" w:hAnsiTheme="majorEastAsia" w:eastAsiaTheme="majorEastAsia"/>
          <w:color w:val="000000"/>
          <w:sz w:val="52"/>
          <w:szCs w:val="52"/>
          <w:shd w:val="clear" w:color="auto" w:fill="FFFFFF"/>
        </w:rPr>
        <w:t>公开</w:t>
      </w: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hint="eastAsia"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r>
        <w:rPr>
          <w:rStyle w:val="6"/>
          <w:rFonts w:hint="eastAsia" w:ascii="宋体" w:hAnsi="宋体" w:eastAsia="宋体" w:cs="宋体"/>
          <w:color w:val="000000"/>
          <w:sz w:val="36"/>
          <w:szCs w:val="36"/>
          <w:shd w:val="clear" w:color="auto" w:fill="FFFFFF"/>
        </w:rPr>
        <w:t>南宫市垂杨镇人民政府</w:t>
      </w:r>
    </w:p>
    <w:p>
      <w:pPr>
        <w:pStyle w:val="4"/>
        <w:widowControl/>
        <w:shd w:val="clear" w:color="auto" w:fill="FFFFFF"/>
        <w:adjustRightInd w:val="0"/>
        <w:snapToGrid w:val="0"/>
        <w:spacing w:beforeAutospacing="0" w:afterAutospacing="0"/>
        <w:jc w:val="center"/>
        <w:rPr>
          <w:rStyle w:val="6"/>
          <w:rFonts w:ascii="宋体" w:hAnsi="宋体" w:eastAsia="宋体" w:cs="宋体"/>
          <w:color w:val="000000"/>
          <w:sz w:val="36"/>
          <w:szCs w:val="36"/>
          <w:shd w:val="clear" w:color="auto" w:fill="FFFFFF"/>
        </w:rPr>
      </w:pPr>
      <w:r>
        <w:rPr>
          <w:rStyle w:val="6"/>
          <w:rFonts w:hint="eastAsia" w:ascii="宋体" w:hAnsi="宋体" w:eastAsia="宋体" w:cs="宋体"/>
          <w:color w:val="000000"/>
          <w:sz w:val="36"/>
          <w:szCs w:val="36"/>
          <w:shd w:val="clear" w:color="auto" w:fill="FFFFFF"/>
        </w:rPr>
        <w:t>2018年10月</w:t>
      </w:r>
    </w:p>
    <w:p>
      <w:pPr>
        <w:widowControl/>
        <w:spacing w:line="580" w:lineRule="exact"/>
        <w:rPr>
          <w:rFonts w:hAnsi="宋体" w:eastAsia="方正小标宋_GBK" w:cs="宋体"/>
          <w:kern w:val="0"/>
          <w:sz w:val="32"/>
          <w:szCs w:val="32"/>
        </w:rPr>
      </w:pPr>
    </w:p>
    <w:p>
      <w:pPr>
        <w:widowControl/>
        <w:spacing w:line="580" w:lineRule="exact"/>
        <w:rPr>
          <w:rFonts w:hAnsi="宋体" w:eastAsia="方正小标宋_GBK" w:cs="宋体"/>
          <w:kern w:val="0"/>
          <w:sz w:val="32"/>
          <w:szCs w:val="32"/>
        </w:rPr>
      </w:pPr>
    </w:p>
    <w:p>
      <w:pPr>
        <w:widowControl/>
        <w:spacing w:line="580" w:lineRule="exact"/>
        <w:rPr>
          <w:rFonts w:hAnsi="宋体" w:eastAsia="方正小标宋_GBK" w:cs="宋体"/>
          <w:kern w:val="0"/>
          <w:sz w:val="32"/>
          <w:szCs w:val="32"/>
        </w:rPr>
      </w:pPr>
    </w:p>
    <w:p>
      <w:pPr>
        <w:widowControl/>
        <w:spacing w:line="580" w:lineRule="exact"/>
        <w:rPr>
          <w:rFonts w:hAnsi="宋体" w:eastAsia="方正小标宋_GBK" w:cs="宋体"/>
          <w:kern w:val="0"/>
          <w:sz w:val="32"/>
          <w:szCs w:val="32"/>
        </w:rPr>
      </w:pPr>
    </w:p>
    <w:p>
      <w:pPr>
        <w:widowControl/>
        <w:spacing w:line="580" w:lineRule="exact"/>
        <w:jc w:val="center"/>
        <w:rPr>
          <w:rFonts w:ascii="仿宋" w:hAnsi="仿宋" w:eastAsia="仿宋" w:cs="宋体"/>
          <w:kern w:val="0"/>
          <w:sz w:val="32"/>
          <w:szCs w:val="32"/>
        </w:rPr>
      </w:pPr>
      <w:r>
        <w:rPr>
          <w:rFonts w:hint="eastAsia" w:ascii="仿宋" w:hAnsi="仿宋" w:eastAsia="仿宋" w:cs="宋体"/>
          <w:b/>
          <w:bCs/>
          <w:kern w:val="0"/>
          <w:sz w:val="36"/>
          <w:szCs w:val="36"/>
        </w:rPr>
        <w:t>目 录</w:t>
      </w:r>
    </w:p>
    <w:p>
      <w:pPr>
        <w:widowControl/>
        <w:spacing w:line="580" w:lineRule="exact"/>
        <w:ind w:firstLine="640" w:firstLineChars="200"/>
        <w:jc w:val="left"/>
        <w:rPr>
          <w:rFonts w:ascii="仿宋" w:hAnsi="仿宋" w:eastAsia="仿宋" w:cs="宋体"/>
          <w:kern w:val="0"/>
          <w:sz w:val="24"/>
        </w:rPr>
      </w:pPr>
      <w:r>
        <w:rPr>
          <w:rFonts w:ascii="Calibri" w:hAnsi="Calibri" w:eastAsia="仿宋" w:cs="Calibri"/>
          <w:kern w:val="0"/>
          <w:sz w:val="32"/>
          <w:szCs w:val="32"/>
        </w:rPr>
        <w:t> </w:t>
      </w:r>
    </w:p>
    <w:p>
      <w:pPr>
        <w:widowControl/>
        <w:numPr>
          <w:ilvl w:val="0"/>
          <w:numId w:val="1"/>
        </w:numPr>
        <w:spacing w:line="580" w:lineRule="exact"/>
        <w:jc w:val="left"/>
        <w:rPr>
          <w:rFonts w:ascii="仿宋" w:hAnsi="仿宋" w:eastAsia="仿宋" w:cs="宋体"/>
          <w:kern w:val="0"/>
          <w:sz w:val="32"/>
          <w:szCs w:val="32"/>
        </w:rPr>
      </w:pPr>
      <w:r>
        <w:rPr>
          <w:rFonts w:hint="eastAsia" w:ascii="仿宋" w:hAnsi="仿宋" w:eastAsia="仿宋"/>
          <w:kern w:val="0"/>
          <w:sz w:val="32"/>
          <w:szCs w:val="32"/>
        </w:rPr>
        <w:t>南宫市垂杨镇人民政府</w:t>
      </w:r>
      <w:r>
        <w:rPr>
          <w:rFonts w:hint="eastAsia" w:ascii="仿宋" w:hAnsi="仿宋" w:eastAsia="仿宋" w:cs="宋体"/>
          <w:kern w:val="0"/>
          <w:sz w:val="32"/>
          <w:szCs w:val="32"/>
        </w:rPr>
        <w:t>部门概况</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（一）主要职能</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（二）部门组成</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二、南宫市垂杨镇人民政府</w:t>
      </w:r>
      <w:r>
        <w:rPr>
          <w:rFonts w:ascii="仿宋" w:hAnsi="仿宋" w:eastAsia="仿宋"/>
          <w:kern w:val="0"/>
          <w:sz w:val="32"/>
          <w:szCs w:val="32"/>
        </w:rPr>
        <w:t>2017</w:t>
      </w:r>
      <w:r>
        <w:rPr>
          <w:rFonts w:hint="eastAsia" w:ascii="仿宋" w:hAnsi="仿宋" w:eastAsia="仿宋" w:cs="宋体"/>
          <w:kern w:val="0"/>
          <w:sz w:val="32"/>
          <w:szCs w:val="32"/>
        </w:rPr>
        <w:t>年度部门决算表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（一）收入支出决算总表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（二）收入决算表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（三）支出决算表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（四）财政拨款收入支出决算总表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（五）一般公共预算财政拨款收入支出决算表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（六）一般公共预算财政拨款基本支出决算经济分类表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（七）政府性基金预算财政拨款收入支出决算表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（八）国有资本经营预算财政拨款收入支出决算表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（九）</w:t>
      </w:r>
      <w:r>
        <w:rPr>
          <w:rFonts w:ascii="仿宋" w:hAnsi="仿宋" w:eastAsia="仿宋"/>
          <w:kern w:val="0"/>
          <w:sz w:val="32"/>
          <w:szCs w:val="32"/>
        </w:rPr>
        <w:t>“</w:t>
      </w:r>
      <w:r>
        <w:rPr>
          <w:rFonts w:hint="eastAsia" w:ascii="仿宋" w:hAnsi="仿宋" w:eastAsia="仿宋" w:cs="宋体"/>
          <w:kern w:val="0"/>
          <w:sz w:val="32"/>
          <w:szCs w:val="32"/>
        </w:rPr>
        <w:t>三公</w:t>
      </w:r>
      <w:r>
        <w:rPr>
          <w:rFonts w:ascii="仿宋" w:hAnsi="仿宋" w:eastAsia="仿宋"/>
          <w:kern w:val="0"/>
          <w:sz w:val="32"/>
          <w:szCs w:val="32"/>
        </w:rPr>
        <w:t>”</w:t>
      </w:r>
      <w:r>
        <w:rPr>
          <w:rFonts w:hint="eastAsia" w:ascii="仿宋" w:hAnsi="仿宋" w:eastAsia="仿宋" w:cs="宋体"/>
          <w:kern w:val="0"/>
          <w:sz w:val="32"/>
          <w:szCs w:val="32"/>
        </w:rPr>
        <w:t>经费等相关信息统计表</w:t>
      </w:r>
    </w:p>
    <w:p>
      <w:pPr>
        <w:widowControl/>
        <w:spacing w:line="58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（十）政府采购情况表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三、南宫市垂杨镇人民政府</w:t>
      </w:r>
      <w:r>
        <w:rPr>
          <w:rFonts w:ascii="仿宋" w:hAnsi="仿宋" w:eastAsia="仿宋"/>
          <w:kern w:val="0"/>
          <w:sz w:val="32"/>
          <w:szCs w:val="32"/>
        </w:rPr>
        <w:t>2017</w:t>
      </w:r>
      <w:r>
        <w:rPr>
          <w:rFonts w:hint="eastAsia" w:ascii="仿宋" w:hAnsi="仿宋" w:eastAsia="仿宋" w:cs="宋体"/>
          <w:kern w:val="0"/>
          <w:sz w:val="32"/>
          <w:szCs w:val="32"/>
        </w:rPr>
        <w:t>年部门决算情况说明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（一）收入支出决算总体情况说明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（二）收入决算情况说明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（三）支出决算情况说明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（四）财政拨款收入支出决算总体情况说明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（五）</w:t>
      </w:r>
      <w:r>
        <w:rPr>
          <w:rFonts w:ascii="仿宋" w:hAnsi="仿宋" w:eastAsia="仿宋"/>
          <w:kern w:val="0"/>
          <w:sz w:val="32"/>
          <w:szCs w:val="32"/>
        </w:rPr>
        <w:t>“</w:t>
      </w:r>
      <w:r>
        <w:rPr>
          <w:rFonts w:hint="eastAsia" w:ascii="仿宋" w:hAnsi="仿宋" w:eastAsia="仿宋" w:cs="宋体"/>
          <w:kern w:val="0"/>
          <w:sz w:val="32"/>
          <w:szCs w:val="32"/>
        </w:rPr>
        <w:t>三公</w:t>
      </w:r>
      <w:r>
        <w:rPr>
          <w:rFonts w:ascii="仿宋" w:hAnsi="仿宋" w:eastAsia="仿宋"/>
          <w:kern w:val="0"/>
          <w:sz w:val="32"/>
          <w:szCs w:val="32"/>
        </w:rPr>
        <w:t>”</w:t>
      </w:r>
      <w:r>
        <w:rPr>
          <w:rFonts w:hint="eastAsia" w:ascii="仿宋" w:hAnsi="仿宋" w:eastAsia="仿宋" w:cs="宋体"/>
          <w:kern w:val="0"/>
          <w:sz w:val="32"/>
          <w:szCs w:val="32"/>
        </w:rPr>
        <w:t>经费支出决算情况说明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（六）预算绩效管理工作开展情况说明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（七）其他重要事项的说明</w:t>
      </w:r>
    </w:p>
    <w:p>
      <w:pPr>
        <w:widowControl/>
        <w:spacing w:line="580" w:lineRule="exact"/>
        <w:jc w:val="left"/>
        <w:rPr>
          <w:rFonts w:ascii="仿宋" w:hAnsi="仿宋" w:eastAsia="仿宋" w:cs="宋体"/>
          <w:kern w:val="0"/>
          <w:sz w:val="24"/>
        </w:rPr>
      </w:pPr>
      <w:r>
        <w:rPr>
          <w:rFonts w:hint="eastAsia" w:ascii="仿宋" w:hAnsi="仿宋" w:eastAsia="仿宋"/>
          <w:kern w:val="0"/>
          <w:sz w:val="32"/>
          <w:szCs w:val="32"/>
        </w:rPr>
        <w:t xml:space="preserve">        </w:t>
      </w:r>
      <w:r>
        <w:rPr>
          <w:rFonts w:ascii="仿宋" w:hAnsi="仿宋" w:eastAsia="仿宋"/>
          <w:kern w:val="0"/>
          <w:sz w:val="32"/>
          <w:szCs w:val="32"/>
        </w:rPr>
        <w:t>1.</w:t>
      </w:r>
      <w:r>
        <w:rPr>
          <w:rFonts w:hint="eastAsia" w:ascii="仿宋" w:hAnsi="仿宋" w:eastAsia="仿宋" w:cs="宋体"/>
          <w:kern w:val="0"/>
          <w:sz w:val="32"/>
          <w:szCs w:val="32"/>
        </w:rPr>
        <w:t>机关运行经费情况</w:t>
      </w:r>
    </w:p>
    <w:p>
      <w:pPr>
        <w:widowControl/>
        <w:spacing w:line="580" w:lineRule="exact"/>
        <w:jc w:val="left"/>
        <w:rPr>
          <w:rFonts w:ascii="仿宋" w:hAnsi="仿宋" w:eastAsia="仿宋" w:cs="宋体"/>
          <w:kern w:val="0"/>
          <w:sz w:val="24"/>
        </w:rPr>
      </w:pPr>
      <w:r>
        <w:rPr>
          <w:rFonts w:hint="eastAsia" w:ascii="仿宋" w:hAnsi="仿宋" w:eastAsia="仿宋"/>
          <w:kern w:val="0"/>
          <w:sz w:val="32"/>
          <w:szCs w:val="32"/>
        </w:rPr>
        <w:t xml:space="preserve">        </w:t>
      </w:r>
      <w:r>
        <w:rPr>
          <w:rFonts w:ascii="仿宋" w:hAnsi="仿宋" w:eastAsia="仿宋"/>
          <w:kern w:val="0"/>
          <w:sz w:val="32"/>
          <w:szCs w:val="32"/>
        </w:rPr>
        <w:t>2.</w:t>
      </w:r>
      <w:r>
        <w:rPr>
          <w:rFonts w:hint="eastAsia" w:ascii="仿宋" w:hAnsi="仿宋" w:eastAsia="仿宋" w:cs="宋体"/>
          <w:kern w:val="0"/>
          <w:sz w:val="32"/>
          <w:szCs w:val="32"/>
        </w:rPr>
        <w:t>政府采购情况</w:t>
      </w:r>
    </w:p>
    <w:p>
      <w:pPr>
        <w:widowControl/>
        <w:spacing w:line="580" w:lineRule="exact"/>
        <w:jc w:val="left"/>
        <w:rPr>
          <w:rFonts w:ascii="仿宋" w:hAnsi="仿宋" w:eastAsia="仿宋" w:cs="宋体"/>
          <w:kern w:val="0"/>
          <w:sz w:val="24"/>
        </w:rPr>
      </w:pPr>
      <w:r>
        <w:rPr>
          <w:rFonts w:hint="eastAsia" w:ascii="仿宋" w:hAnsi="仿宋" w:eastAsia="仿宋"/>
          <w:kern w:val="0"/>
          <w:sz w:val="32"/>
          <w:szCs w:val="32"/>
        </w:rPr>
        <w:t xml:space="preserve">        </w:t>
      </w:r>
      <w:r>
        <w:rPr>
          <w:rFonts w:ascii="仿宋" w:hAnsi="仿宋" w:eastAsia="仿宋"/>
          <w:kern w:val="0"/>
          <w:sz w:val="32"/>
          <w:szCs w:val="32"/>
        </w:rPr>
        <w:t>3.</w:t>
      </w:r>
      <w:r>
        <w:rPr>
          <w:rFonts w:hint="eastAsia" w:ascii="仿宋" w:hAnsi="仿宋" w:eastAsia="仿宋" w:cs="宋体"/>
          <w:kern w:val="0"/>
          <w:sz w:val="32"/>
          <w:szCs w:val="32"/>
        </w:rPr>
        <w:t>国有资产占用情况</w:t>
      </w:r>
    </w:p>
    <w:p>
      <w:pPr>
        <w:widowControl/>
        <w:spacing w:line="580" w:lineRule="exact"/>
        <w:jc w:val="left"/>
        <w:rPr>
          <w:rFonts w:ascii="仿宋" w:hAnsi="仿宋" w:eastAsia="仿宋" w:cs="宋体"/>
          <w:kern w:val="0"/>
          <w:sz w:val="24"/>
        </w:rPr>
      </w:pPr>
      <w:r>
        <w:rPr>
          <w:rFonts w:hint="eastAsia" w:ascii="仿宋" w:hAnsi="仿宋" w:eastAsia="仿宋"/>
          <w:kern w:val="0"/>
          <w:sz w:val="32"/>
          <w:szCs w:val="32"/>
        </w:rPr>
        <w:t xml:space="preserve">        </w:t>
      </w:r>
      <w:r>
        <w:rPr>
          <w:rFonts w:ascii="仿宋" w:hAnsi="仿宋" w:eastAsia="仿宋"/>
          <w:kern w:val="0"/>
          <w:sz w:val="32"/>
          <w:szCs w:val="32"/>
        </w:rPr>
        <w:t>4.</w:t>
      </w:r>
      <w:r>
        <w:rPr>
          <w:rFonts w:hint="eastAsia" w:ascii="仿宋" w:hAnsi="仿宋" w:eastAsia="仿宋" w:cs="宋体"/>
          <w:kern w:val="0"/>
          <w:sz w:val="32"/>
          <w:szCs w:val="32"/>
        </w:rPr>
        <w:t>其他需要说明的情况</w:t>
      </w:r>
    </w:p>
    <w:p>
      <w:pPr>
        <w:widowControl/>
        <w:spacing w:line="580" w:lineRule="exact"/>
        <w:ind w:firstLine="320" w:firstLineChars="100"/>
        <w:jc w:val="left"/>
        <w:rPr>
          <w:rFonts w:ascii="仿宋" w:hAnsi="仿宋" w:eastAsia="仿宋" w:cs="宋体"/>
          <w:kern w:val="0"/>
          <w:sz w:val="24"/>
        </w:rPr>
      </w:pPr>
      <w:r>
        <w:rPr>
          <w:rFonts w:hint="eastAsia" w:ascii="仿宋" w:hAnsi="仿宋" w:eastAsia="仿宋"/>
          <w:kern w:val="0"/>
          <w:sz w:val="32"/>
          <w:szCs w:val="32"/>
        </w:rPr>
        <w:t>四、</w:t>
      </w:r>
      <w:r>
        <w:rPr>
          <w:rFonts w:hint="eastAsia" w:ascii="仿宋" w:hAnsi="仿宋" w:eastAsia="仿宋" w:cs="宋体"/>
          <w:kern w:val="0"/>
          <w:sz w:val="32"/>
          <w:szCs w:val="32"/>
        </w:rPr>
        <w:t>名词解释</w:t>
      </w: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color w:val="000000"/>
          <w:sz w:val="32"/>
          <w:szCs w:val="32"/>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color w:val="000000"/>
          <w:sz w:val="32"/>
          <w:szCs w:val="32"/>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color w:val="000000"/>
          <w:sz w:val="32"/>
          <w:szCs w:val="32"/>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color w:val="000000"/>
          <w:sz w:val="32"/>
          <w:szCs w:val="32"/>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b/>
          <w:bCs/>
          <w:color w:val="000000"/>
          <w:sz w:val="32"/>
          <w:szCs w:val="32"/>
          <w:shd w:val="clear" w:color="auto" w:fill="FFFFFF"/>
        </w:rPr>
      </w:pPr>
      <w:r>
        <w:rPr>
          <w:rFonts w:hint="eastAsia" w:ascii="宋体" w:hAnsi="宋体" w:eastAsia="宋体" w:cs="宋体"/>
          <w:b/>
          <w:bCs/>
          <w:color w:val="000000"/>
          <w:sz w:val="32"/>
          <w:szCs w:val="32"/>
          <w:shd w:val="clear" w:color="auto" w:fill="FFFFFF"/>
        </w:rPr>
        <w:t>第一部分   部门概况</w:t>
      </w:r>
    </w:p>
    <w:p>
      <w:pPr>
        <w:pStyle w:val="4"/>
        <w:widowControl/>
        <w:shd w:val="clear" w:color="auto" w:fill="FFFFFF"/>
        <w:adjustRightInd w:val="0"/>
        <w:snapToGrid w:val="0"/>
        <w:spacing w:before="315" w:beforeAutospacing="0" w:after="315" w:afterAutospacing="0"/>
        <w:rPr>
          <w:rFonts w:ascii="宋体" w:hAnsi="宋体" w:eastAsia="宋体" w:cs="宋体"/>
          <w:color w:val="000000"/>
          <w:sz w:val="21"/>
          <w:szCs w:val="21"/>
          <w:shd w:val="clear" w:color="auto" w:fill="FFFFFF"/>
        </w:rPr>
      </w:pPr>
      <w:r>
        <w:rPr>
          <w:rFonts w:ascii="宋体" w:hAnsi="宋体" w:eastAsia="宋体" w:cs="宋体"/>
          <w:color w:val="000000"/>
          <w:sz w:val="21"/>
          <w:szCs w:val="21"/>
          <w:shd w:val="clear" w:color="auto" w:fill="FFFFFF"/>
        </w:rPr>
        <w:t>　　</w:t>
      </w:r>
    </w:p>
    <w:p>
      <w:pPr>
        <w:pStyle w:val="4"/>
        <w:widowControl/>
        <w:numPr>
          <w:ilvl w:val="0"/>
          <w:numId w:val="2"/>
        </w:numPr>
        <w:shd w:val="clear" w:color="auto" w:fill="FFFFFF"/>
        <w:adjustRightInd w:val="0"/>
        <w:snapToGrid w:val="0"/>
        <w:spacing w:beforeAutospacing="0" w:afterAutospacing="0"/>
        <w:rPr>
          <w:rFonts w:ascii="新宋体" w:hAnsi="新宋体" w:eastAsia="新宋体" w:cs="新宋体"/>
          <w:color w:val="000000"/>
          <w:sz w:val="32"/>
          <w:szCs w:val="32"/>
          <w:shd w:val="clear" w:color="auto" w:fill="FFFFFF"/>
        </w:rPr>
      </w:pPr>
      <w:r>
        <w:rPr>
          <w:rFonts w:hint="eastAsia" w:ascii="新宋体" w:hAnsi="新宋体" w:eastAsia="新宋体" w:cs="新宋体"/>
          <w:color w:val="000000"/>
          <w:sz w:val="32"/>
          <w:szCs w:val="32"/>
          <w:shd w:val="clear" w:color="auto" w:fill="FFFFFF"/>
        </w:rPr>
        <w:t>主要职能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(一)、</w:t>
      </w:r>
      <w:r>
        <w:rPr>
          <w:rFonts w:ascii="仿宋" w:hAnsi="仿宋" w:eastAsia="仿宋" w:cs="Times New Roman"/>
          <w:sz w:val="32"/>
          <w:szCs w:val="32"/>
        </w:rPr>
        <w:t>部门职责</w:t>
      </w:r>
    </w:p>
    <w:p>
      <w:pPr>
        <w:ind w:firstLine="640" w:firstLineChars="200"/>
        <w:rPr>
          <w:rFonts w:ascii="仿宋" w:hAnsi="仿宋" w:eastAsia="仿宋" w:cs="Times New Roman"/>
          <w:sz w:val="32"/>
          <w:szCs w:val="32"/>
        </w:rPr>
      </w:pPr>
      <w:r>
        <w:rPr>
          <w:rFonts w:ascii="仿宋" w:hAnsi="仿宋" w:eastAsia="仿宋" w:cs="Times New Roman"/>
          <w:sz w:val="32"/>
          <w:szCs w:val="32"/>
        </w:rPr>
        <w:t xml:space="preserve">（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  </w:t>
      </w:r>
    </w:p>
    <w:p>
      <w:pPr>
        <w:ind w:firstLine="640" w:firstLineChars="200"/>
        <w:rPr>
          <w:rFonts w:ascii="仿宋" w:hAnsi="仿宋" w:eastAsia="仿宋" w:cs="Times New Roman"/>
          <w:sz w:val="32"/>
          <w:szCs w:val="32"/>
        </w:rPr>
      </w:pPr>
      <w:r>
        <w:rPr>
          <w:rFonts w:ascii="仿宋" w:hAnsi="仿宋" w:eastAsia="仿宋" w:cs="Times New Roman"/>
          <w:sz w:val="32"/>
          <w:szCs w:val="32"/>
        </w:rPr>
        <w:t>（2）制定并组织实施村镇建设规划，部署重点工程建设，地方道路建设及公共设施，水利设施的管理，负责土地、林木、水等自然资源和生态环境的保护，做好护林防火工作。</w:t>
      </w:r>
    </w:p>
    <w:p>
      <w:pPr>
        <w:ind w:firstLine="640" w:firstLineChars="200"/>
        <w:rPr>
          <w:rFonts w:ascii="仿宋" w:hAnsi="仿宋" w:eastAsia="仿宋" w:cs="Times New Roman"/>
          <w:sz w:val="32"/>
          <w:szCs w:val="32"/>
        </w:rPr>
      </w:pPr>
      <w:r>
        <w:rPr>
          <w:rFonts w:ascii="仿宋" w:hAnsi="仿宋" w:eastAsia="仿宋" w:cs="Times New Roman"/>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640" w:firstLineChars="200"/>
        <w:rPr>
          <w:rFonts w:ascii="仿宋" w:hAnsi="仿宋" w:eastAsia="仿宋" w:cs="Times New Roman"/>
          <w:sz w:val="32"/>
          <w:szCs w:val="32"/>
        </w:rPr>
      </w:pPr>
      <w:r>
        <w:rPr>
          <w:rFonts w:ascii="仿宋" w:hAnsi="仿宋" w:eastAsia="仿宋" w:cs="Times New Roman"/>
          <w:sz w:val="32"/>
          <w:szCs w:val="32"/>
        </w:rPr>
        <w:t>（4）按计划组织本级财政收入和地方税的征收，完成国家财政计划，不断培植税源，管好财政资金，增强财政实力。</w:t>
      </w:r>
    </w:p>
    <w:p>
      <w:pPr>
        <w:ind w:firstLine="640" w:firstLineChars="200"/>
        <w:rPr>
          <w:rFonts w:ascii="仿宋" w:hAnsi="仿宋" w:eastAsia="仿宋" w:cs="Times New Roman"/>
          <w:sz w:val="32"/>
          <w:szCs w:val="32"/>
        </w:rPr>
      </w:pPr>
      <w:r>
        <w:rPr>
          <w:rFonts w:ascii="仿宋" w:hAnsi="仿宋" w:eastAsia="仿宋" w:cs="Times New Roman"/>
          <w:sz w:val="32"/>
          <w:szCs w:val="32"/>
        </w:rPr>
        <w:t>（5）抓好精神文明建设，丰富群众文化生活，提倡移风易俗，反对封建迷信，破除陈规陋习，树立社会主义新风尚。</w:t>
      </w:r>
    </w:p>
    <w:p>
      <w:pPr>
        <w:ind w:firstLine="640" w:firstLineChars="200"/>
        <w:rPr>
          <w:rFonts w:ascii="仿宋" w:hAnsi="仿宋" w:eastAsia="仿宋" w:cs="Times New Roman"/>
          <w:sz w:val="32"/>
          <w:szCs w:val="32"/>
        </w:rPr>
      </w:pPr>
      <w:r>
        <w:rPr>
          <w:rFonts w:ascii="仿宋" w:hAnsi="仿宋" w:eastAsia="仿宋" w:cs="Times New Roman"/>
          <w:sz w:val="32"/>
          <w:szCs w:val="32"/>
        </w:rPr>
        <w:t>（6）完成上级政府交办的其它事项。</w:t>
      </w:r>
    </w:p>
    <w:p>
      <w:pPr>
        <w:pStyle w:val="4"/>
        <w:widowControl/>
        <w:shd w:val="clear" w:color="auto" w:fill="F8F8F8"/>
        <w:spacing w:beforeAutospacing="0" w:afterAutospacing="0" w:line="378" w:lineRule="atLeast"/>
        <w:ind w:firstLine="640" w:firstLineChars="200"/>
        <w:rPr>
          <w:rFonts w:ascii="仿宋" w:hAnsi="仿宋" w:eastAsia="仿宋"/>
          <w:kern w:val="2"/>
          <w:sz w:val="32"/>
          <w:szCs w:val="32"/>
        </w:rPr>
      </w:pPr>
      <w:r>
        <w:rPr>
          <w:rFonts w:hint="eastAsia" w:ascii="仿宋" w:hAnsi="仿宋" w:eastAsia="仿宋"/>
          <w:kern w:val="2"/>
          <w:sz w:val="32"/>
          <w:szCs w:val="32"/>
        </w:rPr>
        <w:t>（二）人员情况</w:t>
      </w:r>
    </w:p>
    <w:p>
      <w:pPr>
        <w:pStyle w:val="4"/>
        <w:widowControl/>
        <w:shd w:val="clear" w:color="auto" w:fill="F8F8F8"/>
        <w:spacing w:beforeAutospacing="0" w:afterAutospacing="0" w:line="378" w:lineRule="atLeast"/>
        <w:ind w:firstLine="640" w:firstLineChars="200"/>
        <w:rPr>
          <w:rFonts w:ascii="仿宋" w:hAnsi="仿宋" w:eastAsia="仿宋"/>
          <w:kern w:val="2"/>
          <w:sz w:val="32"/>
          <w:szCs w:val="32"/>
        </w:rPr>
      </w:pPr>
      <w:r>
        <w:rPr>
          <w:rFonts w:hint="eastAsia" w:ascii="仿宋" w:hAnsi="仿宋" w:eastAsia="仿宋"/>
          <w:kern w:val="2"/>
          <w:sz w:val="32"/>
          <w:szCs w:val="32"/>
        </w:rPr>
        <w:t>垂杨镇人民政府</w:t>
      </w:r>
      <w:r>
        <w:rPr>
          <w:rFonts w:ascii="仿宋" w:hAnsi="仿宋" w:eastAsia="仿宋"/>
          <w:kern w:val="2"/>
          <w:sz w:val="32"/>
          <w:szCs w:val="32"/>
        </w:rPr>
        <w:t>属独立核算的行政全额拨款预算单位，编制数</w:t>
      </w:r>
      <w:r>
        <w:rPr>
          <w:rFonts w:hint="eastAsia" w:ascii="仿宋" w:hAnsi="仿宋" w:eastAsia="仿宋"/>
          <w:kern w:val="2"/>
          <w:sz w:val="32"/>
          <w:szCs w:val="32"/>
        </w:rPr>
        <w:t>55</w:t>
      </w:r>
      <w:r>
        <w:rPr>
          <w:rFonts w:ascii="仿宋" w:hAnsi="仿宋" w:eastAsia="仿宋"/>
          <w:kern w:val="2"/>
          <w:sz w:val="32"/>
          <w:szCs w:val="32"/>
        </w:rPr>
        <w:t>人。201</w:t>
      </w:r>
      <w:r>
        <w:rPr>
          <w:rFonts w:hint="eastAsia" w:ascii="仿宋" w:hAnsi="仿宋" w:eastAsia="仿宋"/>
          <w:kern w:val="2"/>
          <w:sz w:val="32"/>
          <w:szCs w:val="32"/>
        </w:rPr>
        <w:t>7</w:t>
      </w:r>
      <w:r>
        <w:rPr>
          <w:rFonts w:ascii="仿宋" w:hAnsi="仿宋" w:eastAsia="仿宋"/>
          <w:kern w:val="2"/>
          <w:sz w:val="32"/>
          <w:szCs w:val="32"/>
        </w:rPr>
        <w:t>年年末在职在编</w:t>
      </w:r>
      <w:r>
        <w:rPr>
          <w:rFonts w:hint="eastAsia" w:ascii="仿宋" w:hAnsi="仿宋" w:eastAsia="仿宋"/>
          <w:kern w:val="2"/>
          <w:sz w:val="32"/>
          <w:szCs w:val="32"/>
        </w:rPr>
        <w:t>人员30</w:t>
      </w:r>
      <w:r>
        <w:rPr>
          <w:rFonts w:ascii="仿宋" w:hAnsi="仿宋" w:eastAsia="仿宋"/>
          <w:kern w:val="2"/>
          <w:sz w:val="32"/>
          <w:szCs w:val="32"/>
        </w:rPr>
        <w:t>人，较上年人员减少</w:t>
      </w:r>
      <w:r>
        <w:rPr>
          <w:rFonts w:hint="eastAsia" w:ascii="仿宋" w:hAnsi="仿宋" w:eastAsia="仿宋"/>
          <w:kern w:val="2"/>
          <w:sz w:val="32"/>
          <w:szCs w:val="32"/>
        </w:rPr>
        <w:t>1</w:t>
      </w:r>
      <w:r>
        <w:rPr>
          <w:rFonts w:ascii="仿宋" w:hAnsi="仿宋" w:eastAsia="仿宋"/>
          <w:kern w:val="2"/>
          <w:sz w:val="32"/>
          <w:szCs w:val="32"/>
        </w:rPr>
        <w:t>人，减少原因为退休1人。</w:t>
      </w:r>
    </w:p>
    <w:p>
      <w:pPr>
        <w:widowControl/>
        <w:spacing w:line="580" w:lineRule="exact"/>
        <w:jc w:val="center"/>
        <w:rPr>
          <w:rFonts w:ascii="仿宋" w:hAnsi="仿宋" w:eastAsia="仿宋" w:cstheme="majorEastAsia"/>
          <w:b/>
          <w:bCs/>
          <w:color w:val="000000"/>
          <w:sz w:val="32"/>
          <w:szCs w:val="32"/>
          <w:shd w:val="clear" w:color="auto" w:fill="FFFFFF"/>
        </w:rPr>
        <w:sectPr>
          <w:pgSz w:w="11906" w:h="16838"/>
          <w:pgMar w:top="1440" w:right="1800" w:bottom="1440" w:left="1800" w:header="851" w:footer="992" w:gutter="0"/>
          <w:cols w:space="425" w:num="1"/>
          <w:docGrid w:type="lines" w:linePitch="312" w:charSpace="0"/>
        </w:sect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r>
        <w:rPr>
          <w:rFonts w:hint="eastAsia" w:ascii="仿宋" w:hAnsi="仿宋" w:eastAsia="仿宋" w:cstheme="majorEastAsia"/>
          <w:b/>
          <w:bCs/>
          <w:color w:val="000000"/>
          <w:sz w:val="32"/>
          <w:szCs w:val="32"/>
          <w:shd w:val="clear" w:color="auto" w:fill="FFFFFF"/>
        </w:rPr>
        <w:t xml:space="preserve">第二部分  </w:t>
      </w:r>
      <w:r>
        <w:rPr>
          <w:rFonts w:hint="eastAsia" w:ascii="仿宋" w:hAnsi="仿宋" w:eastAsia="仿宋" w:cstheme="majorEastAsia"/>
          <w:b/>
          <w:bCs/>
          <w:kern w:val="0"/>
          <w:sz w:val="32"/>
          <w:szCs w:val="32"/>
        </w:rPr>
        <w:t>2017年部门决算表</w:t>
      </w:r>
    </w:p>
    <w:p>
      <w:pPr>
        <w:widowControl/>
        <w:spacing w:line="580" w:lineRule="exact"/>
        <w:jc w:val="center"/>
        <w:rPr>
          <w:rFonts w:ascii="仿宋" w:hAnsi="仿宋" w:eastAsia="仿宋" w:cstheme="majorEastAsia"/>
          <w:b/>
          <w:bCs/>
          <w:color w:val="000000"/>
          <w:sz w:val="32"/>
          <w:szCs w:val="32"/>
          <w:shd w:val="clear" w:color="auto" w:fill="FFFFFF"/>
        </w:rPr>
      </w:pPr>
    </w:p>
    <w:p>
      <w:pPr>
        <w:widowControl/>
        <w:jc w:val="center"/>
        <w:rPr>
          <w:rFonts w:ascii="仿宋" w:hAnsi="仿宋" w:eastAsia="仿宋" w:cstheme="majorEastAsia"/>
          <w:b/>
          <w:bCs/>
          <w:color w:val="000000"/>
          <w:sz w:val="32"/>
          <w:szCs w:val="32"/>
          <w:shd w:val="clear" w:color="auto" w:fill="FFFFFF"/>
        </w:rPr>
        <w:sectPr>
          <w:pgSz w:w="16838" w:h="11906" w:orient="landscape"/>
          <w:pgMar w:top="567" w:right="567" w:bottom="567" w:left="567" w:header="851" w:footer="992" w:gutter="0"/>
          <w:cols w:space="425" w:num="1"/>
          <w:docGrid w:type="lines" w:linePitch="312" w:charSpace="0"/>
        </w:sectPr>
      </w:pPr>
    </w:p>
    <w:tbl>
      <w:tblPr>
        <w:tblStyle w:val="8"/>
        <w:tblW w:w="15451" w:type="dxa"/>
        <w:tblInd w:w="108" w:type="dxa"/>
        <w:tblLayout w:type="fixed"/>
        <w:tblCellMar>
          <w:top w:w="0" w:type="dxa"/>
          <w:left w:w="108" w:type="dxa"/>
          <w:bottom w:w="0" w:type="dxa"/>
          <w:right w:w="108" w:type="dxa"/>
        </w:tblCellMar>
      </w:tblPr>
      <w:tblGrid>
        <w:gridCol w:w="4340"/>
        <w:gridCol w:w="580"/>
        <w:gridCol w:w="2320"/>
        <w:gridCol w:w="1549"/>
        <w:gridCol w:w="2791"/>
        <w:gridCol w:w="580"/>
        <w:gridCol w:w="3291"/>
      </w:tblGrid>
      <w:tr>
        <w:tblPrEx>
          <w:tblLayout w:type="fixed"/>
          <w:tblCellMar>
            <w:top w:w="0" w:type="dxa"/>
            <w:left w:w="108" w:type="dxa"/>
            <w:bottom w:w="0" w:type="dxa"/>
            <w:right w:w="108" w:type="dxa"/>
          </w:tblCellMar>
        </w:tblPrEx>
        <w:trPr>
          <w:trHeight w:val="384" w:hRule="atLeast"/>
        </w:trPr>
        <w:tc>
          <w:tcPr>
            <w:tcW w:w="4340" w:type="dxa"/>
            <w:tcBorders>
              <w:top w:val="nil"/>
              <w:left w:val="nil"/>
              <w:bottom w:val="nil"/>
              <w:right w:val="nil"/>
            </w:tcBorders>
            <w:shd w:val="clear" w:color="auto" w:fill="auto"/>
            <w:vAlign w:val="bottom"/>
          </w:tcPr>
          <w:p>
            <w:pPr>
              <w:widowControl/>
              <w:ind w:left="460" w:leftChars="-320" w:hanging="1132" w:hangingChars="566"/>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869" w:type="dxa"/>
            <w:gridSpan w:val="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收入支出决算总表</w:t>
            </w:r>
          </w:p>
        </w:tc>
        <w:tc>
          <w:tcPr>
            <w:tcW w:w="2791"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9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264" w:hRule="atLeast"/>
        </w:trPr>
        <w:tc>
          <w:tcPr>
            <w:tcW w:w="434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2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4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91"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Layout w:type="fixed"/>
          <w:tblCellMar>
            <w:top w:w="0" w:type="dxa"/>
            <w:left w:w="108" w:type="dxa"/>
            <w:bottom w:w="0" w:type="dxa"/>
            <w:right w:w="108" w:type="dxa"/>
          </w:tblCellMar>
        </w:tblPrEx>
        <w:trPr>
          <w:trHeight w:val="264" w:hRule="atLeast"/>
        </w:trPr>
        <w:tc>
          <w:tcPr>
            <w:tcW w:w="434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2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4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91"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264" w:hRule="atLeast"/>
        </w:trPr>
        <w:tc>
          <w:tcPr>
            <w:tcW w:w="434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部门：南宫市垂杨镇人民政府（本级）</w:t>
            </w:r>
          </w:p>
        </w:tc>
        <w:tc>
          <w:tcPr>
            <w:tcW w:w="58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232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4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91"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255" w:hRule="exact"/>
        </w:trPr>
        <w:tc>
          <w:tcPr>
            <w:tcW w:w="7240"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收入</w:t>
            </w:r>
          </w:p>
        </w:tc>
        <w:tc>
          <w:tcPr>
            <w:tcW w:w="8211" w:type="dxa"/>
            <w:gridSpan w:val="4"/>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支出</w:t>
            </w:r>
          </w:p>
        </w:tc>
      </w:tr>
      <w:tr>
        <w:tblPrEx>
          <w:tblLayout w:type="fixed"/>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项目</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行次</w:t>
            </w:r>
          </w:p>
        </w:tc>
        <w:tc>
          <w:tcPr>
            <w:tcW w:w="23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项目</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行次</w:t>
            </w:r>
          </w:p>
        </w:tc>
        <w:tc>
          <w:tcPr>
            <w:tcW w:w="329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23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329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一、财政拨款收入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1,046.71</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452.49</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其中：政府性基金预算财政拨款</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二、上级补助收入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三、事业收入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20.00</w:t>
            </w:r>
          </w:p>
        </w:tc>
      </w:tr>
      <w:tr>
        <w:tblPrEx>
          <w:tblLayout w:type="fixed"/>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四、经营收入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0.77</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五、附属单位上缴收入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六、其他收入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七、文化体育与传媒支出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15.40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九、医疗卫生与计划生育支出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10.47</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92.03</w:t>
            </w:r>
          </w:p>
        </w:tc>
      </w:tr>
      <w:tr>
        <w:tblPrEx>
          <w:tblLayout w:type="fixed"/>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58.06</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376.38</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十四、资源勘探信息等支出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16.50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十八、国土海洋气象等支出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二十一、其他支出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本年收入合计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1,046.71</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本年支出合计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1,042.09</w:t>
            </w:r>
          </w:p>
        </w:tc>
      </w:tr>
      <w:tr>
        <w:tblPrEx>
          <w:tblLayout w:type="fixed"/>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用事业基金弥补收支差额</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结余分配</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年初结转和结余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24</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其中：提取职工福利基金</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其中：项目支出结转和结余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转入事业基金</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年末结转和结余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4.62</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其中：项目支出结转和结余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56</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4.62</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329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r>
      <w:tr>
        <w:tblPrEx>
          <w:tblLayout w:type="fixed"/>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总计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1,046.71</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总计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1,046.71</w:t>
            </w:r>
          </w:p>
        </w:tc>
      </w:tr>
      <w:tr>
        <w:tblPrEx>
          <w:tblLayout w:type="fixed"/>
          <w:tblCellMar>
            <w:top w:w="0" w:type="dxa"/>
            <w:left w:w="108" w:type="dxa"/>
            <w:bottom w:w="0" w:type="dxa"/>
            <w:right w:w="108" w:type="dxa"/>
          </w:tblCellMar>
        </w:tblPrEx>
        <w:trPr>
          <w:trHeight w:val="255" w:hRule="exact"/>
        </w:trPr>
        <w:tc>
          <w:tcPr>
            <w:tcW w:w="15451" w:type="dxa"/>
            <w:gridSpan w:val="7"/>
            <w:tcBorders>
              <w:top w:val="nil"/>
              <w:left w:val="nil"/>
              <w:bottom w:val="nil"/>
              <w:right w:val="nil"/>
            </w:tcBorders>
            <w:shd w:val="clear" w:color="auto" w:fill="auto"/>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注：本表反映部门决算本年度的总收支和年末结转结余情况。</w:t>
            </w:r>
          </w:p>
        </w:tc>
      </w:tr>
    </w:tbl>
    <w:p>
      <w:pPr>
        <w:widowControl/>
        <w:jc w:val="center"/>
        <w:rPr>
          <w:rFonts w:ascii="仿宋" w:hAnsi="仿宋" w:eastAsia="仿宋" w:cstheme="majorEastAsia"/>
          <w:b/>
          <w:bCs/>
          <w:color w:val="000000"/>
          <w:sz w:val="32"/>
          <w:szCs w:val="32"/>
          <w:shd w:val="clear" w:color="auto" w:fill="FFFFFF"/>
        </w:rPr>
      </w:pPr>
    </w:p>
    <w:p>
      <w:pPr>
        <w:widowControl/>
        <w:jc w:val="center"/>
        <w:rPr>
          <w:rFonts w:ascii="仿宋" w:hAnsi="仿宋" w:eastAsia="仿宋" w:cstheme="majorEastAsia"/>
          <w:b/>
          <w:bCs/>
          <w:color w:val="000000"/>
          <w:sz w:val="32"/>
          <w:szCs w:val="32"/>
          <w:shd w:val="clear" w:color="auto" w:fill="FFFFFF"/>
        </w:rPr>
        <w:sectPr>
          <w:pgSz w:w="16838" w:h="11906" w:orient="landscape"/>
          <w:pgMar w:top="567" w:right="567" w:bottom="567" w:left="567" w:header="851" w:footer="992" w:gutter="0"/>
          <w:cols w:space="425" w:num="1"/>
          <w:docGrid w:type="lines" w:linePitch="316" w:charSpace="0"/>
        </w:sectPr>
      </w:pPr>
    </w:p>
    <w:p>
      <w:pPr>
        <w:widowControl/>
        <w:spacing w:line="580" w:lineRule="exact"/>
        <w:rPr>
          <w:rFonts w:ascii="仿宋" w:hAnsi="仿宋" w:eastAsia="仿宋" w:cstheme="majorEastAsia"/>
          <w:b/>
          <w:bCs/>
          <w:color w:val="000000"/>
          <w:sz w:val="32"/>
          <w:szCs w:val="32"/>
          <w:shd w:val="clear" w:color="auto" w:fill="FFFFFF"/>
        </w:rPr>
      </w:pPr>
    </w:p>
    <w:tbl>
      <w:tblPr>
        <w:tblStyle w:val="8"/>
        <w:tblW w:w="15695" w:type="dxa"/>
        <w:tblInd w:w="108" w:type="dxa"/>
        <w:tblLayout w:type="fixed"/>
        <w:tblCellMar>
          <w:top w:w="0" w:type="dxa"/>
          <w:left w:w="108" w:type="dxa"/>
          <w:bottom w:w="0" w:type="dxa"/>
          <w:right w:w="108" w:type="dxa"/>
        </w:tblCellMar>
      </w:tblPr>
      <w:tblGrid>
        <w:gridCol w:w="436"/>
        <w:gridCol w:w="436"/>
        <w:gridCol w:w="436"/>
        <w:gridCol w:w="3795"/>
        <w:gridCol w:w="1276"/>
        <w:gridCol w:w="1276"/>
        <w:gridCol w:w="1134"/>
        <w:gridCol w:w="1558"/>
        <w:gridCol w:w="1558"/>
        <w:gridCol w:w="1558"/>
        <w:gridCol w:w="2202"/>
        <w:gridCol w:w="30"/>
      </w:tblGrid>
      <w:tr>
        <w:tblPrEx>
          <w:tblLayout w:type="fixed"/>
          <w:tblCellMar>
            <w:top w:w="0" w:type="dxa"/>
            <w:left w:w="108" w:type="dxa"/>
            <w:bottom w:w="0" w:type="dxa"/>
            <w:right w:w="108" w:type="dxa"/>
          </w:tblCellMar>
        </w:tblPrEx>
        <w:trPr>
          <w:trHeight w:val="384" w:hRule="atLeast"/>
        </w:trPr>
        <w:tc>
          <w:tcPr>
            <w:tcW w:w="15695" w:type="dxa"/>
            <w:gridSpan w:val="1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收入决算表</w:t>
            </w:r>
          </w:p>
        </w:tc>
      </w:tr>
      <w:tr>
        <w:tblPrEx>
          <w:tblLayout w:type="fixed"/>
          <w:tblCellMar>
            <w:top w:w="0" w:type="dxa"/>
            <w:left w:w="108" w:type="dxa"/>
            <w:bottom w:w="0" w:type="dxa"/>
            <w:right w:w="108" w:type="dxa"/>
          </w:tblCellMar>
        </w:tblPrEx>
        <w:trPr>
          <w:gridAfter w:val="1"/>
          <w:wAfter w:w="30" w:type="dxa"/>
          <w:trHeight w:val="264" w:hRule="atLeast"/>
        </w:trPr>
        <w:tc>
          <w:tcPr>
            <w:tcW w:w="43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4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79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02"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Layout w:type="fixed"/>
          <w:tblCellMar>
            <w:top w:w="0" w:type="dxa"/>
            <w:left w:w="108" w:type="dxa"/>
            <w:bottom w:w="0" w:type="dxa"/>
            <w:right w:w="108" w:type="dxa"/>
          </w:tblCellMar>
        </w:tblPrEx>
        <w:trPr>
          <w:gridAfter w:val="1"/>
          <w:wAfter w:w="30" w:type="dxa"/>
          <w:trHeight w:val="264" w:hRule="atLeast"/>
        </w:trPr>
        <w:tc>
          <w:tcPr>
            <w:tcW w:w="5103"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部门：南宫市垂杨镇人民政府（本级）</w:t>
            </w:r>
          </w:p>
        </w:tc>
        <w:tc>
          <w:tcPr>
            <w:tcW w:w="127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02"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30" w:type="dxa"/>
          <w:trHeight w:val="316"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379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27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本年收入合计</w:t>
            </w:r>
          </w:p>
        </w:tc>
        <w:tc>
          <w:tcPr>
            <w:tcW w:w="127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left="-263" w:leftChars="-125" w:firstLine="525" w:firstLineChars="239"/>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财政拨款收入</w:t>
            </w:r>
          </w:p>
        </w:tc>
        <w:tc>
          <w:tcPr>
            <w:tcW w:w="113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上级补助收入</w:t>
            </w:r>
          </w:p>
        </w:tc>
        <w:tc>
          <w:tcPr>
            <w:tcW w:w="155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事业收入</w:t>
            </w:r>
          </w:p>
        </w:tc>
        <w:tc>
          <w:tcPr>
            <w:tcW w:w="155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经营收入</w:t>
            </w:r>
          </w:p>
        </w:tc>
        <w:tc>
          <w:tcPr>
            <w:tcW w:w="155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附属单位上缴收入</w:t>
            </w:r>
          </w:p>
        </w:tc>
        <w:tc>
          <w:tcPr>
            <w:tcW w:w="2202"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其他收入</w:t>
            </w:r>
          </w:p>
        </w:tc>
      </w:tr>
      <w:tr>
        <w:tblPrEx>
          <w:tblLayout w:type="fixed"/>
          <w:tblCellMar>
            <w:top w:w="0" w:type="dxa"/>
            <w:left w:w="108" w:type="dxa"/>
            <w:bottom w:w="0" w:type="dxa"/>
            <w:right w:w="108" w:type="dxa"/>
          </w:tblCellMar>
        </w:tblPrEx>
        <w:trPr>
          <w:gridAfter w:val="1"/>
          <w:wAfter w:w="30" w:type="dxa"/>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PrEx>
        <w:trPr>
          <w:gridAfter w:val="1"/>
          <w:wAfter w:w="30" w:type="dxa"/>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309" w:hRule="atLeast"/>
        </w:trPr>
        <w:tc>
          <w:tcPr>
            <w:tcW w:w="43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379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27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27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13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55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55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155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220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r>
      <w:tr>
        <w:tblPrEx>
          <w:tblLayout w:type="fixed"/>
          <w:tblCellMar>
            <w:top w:w="0" w:type="dxa"/>
            <w:left w:w="108" w:type="dxa"/>
            <w:bottom w:w="0" w:type="dxa"/>
            <w:right w:w="108" w:type="dxa"/>
          </w:tblCellMar>
        </w:tblPrEx>
        <w:trPr>
          <w:gridAfter w:val="1"/>
          <w:wAfter w:w="30" w:type="dxa"/>
          <w:trHeight w:val="309"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1,046.71</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1,046.71</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一般公共服务支出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政府办公厅（室）及相关机构事务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2010301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行政运行</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统计信息事务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2010507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专项普查活动</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20113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商贸事务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2011308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招商引资</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20133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宣传事务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2013302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一般行政管理事务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其他一般公共服务支出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其他一般公共服务支出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公共安全支出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其他公共安全支出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2049901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其他公共安全支出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教育支出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普通教育</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初中教育</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社会保障和就业支出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20825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其他生活救助</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2082502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其他农村生活救助</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医疗卫生与计划生育支出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计划生育事务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2100717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计划生育服务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节能环保支出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21104</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自然生态保护</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2110402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农村环境保护</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城乡社区公共设施</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小城镇基础设施建设</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农林水支出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农村综合改革</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对村民委员会和村党支部的补助</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其他农村综合改革支出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资源勘探信息等支出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21506</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安全生产监管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2150601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行政运行</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支持中小企业发展和管理支出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2150899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其他支持中小企业发展和管理支出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5695" w:type="dxa"/>
            <w:gridSpan w:val="1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注：本表反映部门本年度取得的各项收入情况。</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511" w:type="dxa"/>
        <w:tblInd w:w="108" w:type="dxa"/>
        <w:tblLayout w:type="fixed"/>
        <w:tblCellMar>
          <w:top w:w="0" w:type="dxa"/>
          <w:left w:w="108" w:type="dxa"/>
          <w:bottom w:w="0" w:type="dxa"/>
          <w:right w:w="108" w:type="dxa"/>
        </w:tblCellMar>
      </w:tblPr>
      <w:tblGrid>
        <w:gridCol w:w="436"/>
        <w:gridCol w:w="436"/>
        <w:gridCol w:w="436"/>
        <w:gridCol w:w="3795"/>
        <w:gridCol w:w="1825"/>
        <w:gridCol w:w="1678"/>
        <w:gridCol w:w="1678"/>
        <w:gridCol w:w="1531"/>
        <w:gridCol w:w="1531"/>
        <w:gridCol w:w="2165"/>
      </w:tblGrid>
      <w:tr>
        <w:tblPrEx>
          <w:tblLayout w:type="fixed"/>
          <w:tblCellMar>
            <w:top w:w="0" w:type="dxa"/>
            <w:left w:w="108" w:type="dxa"/>
            <w:bottom w:w="0" w:type="dxa"/>
            <w:right w:w="108" w:type="dxa"/>
          </w:tblCellMar>
        </w:tblPrEx>
        <w:trPr>
          <w:trHeight w:val="384" w:hRule="atLeast"/>
        </w:trPr>
        <w:tc>
          <w:tcPr>
            <w:tcW w:w="15511" w:type="dxa"/>
            <w:gridSpan w:val="10"/>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r>
      <w:tr>
        <w:tblPrEx>
          <w:tblLayout w:type="fixed"/>
          <w:tblCellMar>
            <w:top w:w="0" w:type="dxa"/>
            <w:left w:w="108" w:type="dxa"/>
            <w:bottom w:w="0" w:type="dxa"/>
            <w:right w:w="108" w:type="dxa"/>
          </w:tblCellMar>
        </w:tblPrEx>
        <w:trPr>
          <w:trHeight w:val="264" w:hRule="atLeast"/>
        </w:trPr>
        <w:tc>
          <w:tcPr>
            <w:tcW w:w="43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4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79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82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67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67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3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3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165"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Layout w:type="fixed"/>
          <w:tblCellMar>
            <w:top w:w="0" w:type="dxa"/>
            <w:left w:w="108" w:type="dxa"/>
            <w:bottom w:w="0" w:type="dxa"/>
            <w:right w:w="108" w:type="dxa"/>
          </w:tblCellMar>
        </w:tblPrEx>
        <w:trPr>
          <w:trHeight w:val="264" w:hRule="atLeast"/>
        </w:trPr>
        <w:tc>
          <w:tcPr>
            <w:tcW w:w="5103"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部门：南宫市垂杨镇人民政府（本级）</w:t>
            </w:r>
          </w:p>
        </w:tc>
        <w:tc>
          <w:tcPr>
            <w:tcW w:w="1825"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67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67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3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3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165"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16"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379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82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本年支出合计</w:t>
            </w:r>
          </w:p>
        </w:tc>
        <w:tc>
          <w:tcPr>
            <w:tcW w:w="167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167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153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上缴上级支出</w:t>
            </w:r>
          </w:p>
        </w:tc>
        <w:tc>
          <w:tcPr>
            <w:tcW w:w="153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经营支出</w:t>
            </w:r>
          </w:p>
        </w:tc>
        <w:tc>
          <w:tcPr>
            <w:tcW w:w="216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8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3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3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1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PrEx>
        <w:trPr>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8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3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3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1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8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3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3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16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9" w:hRule="atLeast"/>
        </w:trPr>
        <w:tc>
          <w:tcPr>
            <w:tcW w:w="43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379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82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67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67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53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53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216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r>
      <w:tr>
        <w:tblPrEx>
          <w:tblLayout w:type="fixed"/>
          <w:tblCellMar>
            <w:top w:w="0" w:type="dxa"/>
            <w:left w:w="108" w:type="dxa"/>
            <w:bottom w:w="0" w:type="dxa"/>
            <w:right w:w="108" w:type="dxa"/>
          </w:tblCellMar>
        </w:tblPrEx>
        <w:trPr>
          <w:trHeight w:val="309"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1,042.09</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339.49</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702.60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一般公共服务支出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113.00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政府办公厅（室）及相关机构事务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2010301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行政运行</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统计信息事务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2010507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专项普查活动</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20113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商贸事务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2011308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招商引资</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20133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宣传事务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2013302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一般行政管理事务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其他一般公共服务支出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其他一般公共服务支出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公共安全支出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其他公共安全支出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2049901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其他公共安全支出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教育支出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普通教育</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初中教育</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社会保障和就业支出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20825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其他生活救助</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2082502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其他农村生活救助</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医疗卫生与计划生育支出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计划生育事务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2100717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计划生育服务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节能环保支出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21104</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自然生态保护</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2110402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农村环境保护</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城乡社区公共设施</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小城镇基础设施建设</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农林水支出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农村综合改革</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对村民委员会和村党支部的补助</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356.38</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356.38</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其他农村综合改革支出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资源勘探信息等支出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21506</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安全生产监管</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2150601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行政运行</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支持中小企业发展和管理支出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2150899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其他支持中小企业发展和管理支出</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6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1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5511" w:type="dxa"/>
            <w:gridSpan w:val="10"/>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注：本表反映部门本年度各项支出情况。</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929" w:type="dxa"/>
        <w:tblInd w:w="108" w:type="dxa"/>
        <w:tblLayout w:type="fixed"/>
        <w:tblCellMar>
          <w:top w:w="0" w:type="dxa"/>
          <w:left w:w="108" w:type="dxa"/>
          <w:bottom w:w="0" w:type="dxa"/>
          <w:right w:w="108" w:type="dxa"/>
        </w:tblCellMar>
      </w:tblPr>
      <w:tblGrid>
        <w:gridCol w:w="437"/>
        <w:gridCol w:w="437"/>
        <w:gridCol w:w="224"/>
        <w:gridCol w:w="216"/>
        <w:gridCol w:w="1805"/>
        <w:gridCol w:w="436"/>
        <w:gridCol w:w="18"/>
        <w:gridCol w:w="737"/>
        <w:gridCol w:w="654"/>
        <w:gridCol w:w="18"/>
        <w:gridCol w:w="216"/>
        <w:gridCol w:w="660"/>
        <w:gridCol w:w="1103"/>
        <w:gridCol w:w="882"/>
        <w:gridCol w:w="377"/>
        <w:gridCol w:w="505"/>
        <w:gridCol w:w="1060"/>
        <w:gridCol w:w="240"/>
        <w:gridCol w:w="882"/>
        <w:gridCol w:w="538"/>
        <w:gridCol w:w="344"/>
        <w:gridCol w:w="331"/>
        <w:gridCol w:w="656"/>
        <w:gridCol w:w="197"/>
        <w:gridCol w:w="524"/>
        <w:gridCol w:w="660"/>
        <w:gridCol w:w="1578"/>
        <w:gridCol w:w="194"/>
      </w:tblGrid>
      <w:tr>
        <w:tblPrEx>
          <w:tblLayout w:type="fixed"/>
          <w:tblCellMar>
            <w:top w:w="0" w:type="dxa"/>
            <w:left w:w="108" w:type="dxa"/>
            <w:bottom w:w="0" w:type="dxa"/>
            <w:right w:w="108" w:type="dxa"/>
          </w:tblCellMar>
        </w:tblPrEx>
        <w:trPr>
          <w:gridAfter w:val="1"/>
          <w:wAfter w:w="194" w:type="dxa"/>
          <w:trHeight w:val="384" w:hRule="atLeast"/>
        </w:trPr>
        <w:tc>
          <w:tcPr>
            <w:tcW w:w="15735" w:type="dxa"/>
            <w:gridSpan w:val="27"/>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财政拨款收入支出决算总表</w:t>
            </w:r>
          </w:p>
        </w:tc>
      </w:tr>
      <w:tr>
        <w:tblPrEx>
          <w:tblLayout w:type="fixed"/>
          <w:tblCellMar>
            <w:top w:w="0" w:type="dxa"/>
            <w:left w:w="108" w:type="dxa"/>
            <w:bottom w:w="0" w:type="dxa"/>
            <w:right w:w="108" w:type="dxa"/>
          </w:tblCellMar>
        </w:tblPrEx>
        <w:trPr>
          <w:gridAfter w:val="1"/>
          <w:wAfter w:w="194" w:type="dxa"/>
          <w:trHeight w:val="264" w:hRule="atLeast"/>
        </w:trPr>
        <w:tc>
          <w:tcPr>
            <w:tcW w:w="3119" w:type="dxa"/>
            <w:gridSpan w:val="5"/>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4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409"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56" w:type="dxa"/>
            <w:gridSpan w:val="6"/>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65"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660"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28" w:type="dxa"/>
            <w:gridSpan w:val="4"/>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62"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Layout w:type="fixed"/>
          <w:tblCellMar>
            <w:top w:w="0" w:type="dxa"/>
            <w:left w:w="108" w:type="dxa"/>
            <w:bottom w:w="0" w:type="dxa"/>
            <w:right w:w="108" w:type="dxa"/>
          </w:tblCellMar>
        </w:tblPrEx>
        <w:trPr>
          <w:gridAfter w:val="1"/>
          <w:wAfter w:w="194" w:type="dxa"/>
          <w:trHeight w:val="264" w:hRule="atLeast"/>
        </w:trPr>
        <w:tc>
          <w:tcPr>
            <w:tcW w:w="3573" w:type="dxa"/>
            <w:gridSpan w:val="7"/>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部门：南宫市垂杨镇人民政府（本级）</w:t>
            </w:r>
          </w:p>
        </w:tc>
        <w:tc>
          <w:tcPr>
            <w:tcW w:w="1409" w:type="dxa"/>
            <w:gridSpan w:val="3"/>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3238" w:type="dxa"/>
            <w:gridSpan w:val="5"/>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65"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660"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28" w:type="dxa"/>
            <w:gridSpan w:val="4"/>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62"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194" w:type="dxa"/>
          <w:trHeight w:val="284" w:hRule="exact"/>
        </w:trPr>
        <w:tc>
          <w:tcPr>
            <w:tcW w:w="4982" w:type="dxa"/>
            <w:gridSpan w:val="10"/>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收     入</w:t>
            </w:r>
          </w:p>
        </w:tc>
        <w:tc>
          <w:tcPr>
            <w:tcW w:w="10753" w:type="dxa"/>
            <w:gridSpan w:val="17"/>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支     出</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行次</w:t>
            </w:r>
          </w:p>
        </w:tc>
        <w:tc>
          <w:tcPr>
            <w:tcW w:w="1409"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金额</w:t>
            </w:r>
          </w:p>
        </w:tc>
        <w:tc>
          <w:tcPr>
            <w:tcW w:w="3256" w:type="dxa"/>
            <w:gridSpan w:val="6"/>
            <w:vMerge w:val="restart"/>
            <w:tcBorders>
              <w:top w:val="nil"/>
              <w:left w:val="nil"/>
              <w:bottom w:val="single" w:color="000000" w:sz="4" w:space="0"/>
              <w:right w:val="single" w:color="000000" w:sz="4" w:space="0"/>
            </w:tcBorders>
            <w:shd w:val="clear" w:color="FFFFFF" w:fill="C0C0C0"/>
            <w:vAlign w:val="center"/>
          </w:tcPr>
          <w:p>
            <w:pPr>
              <w:widowControl/>
              <w:ind w:right="422" w:rightChars="201"/>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565"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行次</w:t>
            </w:r>
          </w:p>
        </w:tc>
        <w:tc>
          <w:tcPr>
            <w:tcW w:w="1660"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528" w:type="dxa"/>
            <w:gridSpan w:val="4"/>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一般公共预算财政拨款</w:t>
            </w:r>
          </w:p>
        </w:tc>
        <w:tc>
          <w:tcPr>
            <w:tcW w:w="2762"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政府性基金预算财政拨款</w:t>
            </w:r>
          </w:p>
        </w:tc>
      </w:tr>
      <w:tr>
        <w:tblPrEx>
          <w:tblLayout w:type="fixed"/>
        </w:tblPrEx>
        <w:trPr>
          <w:gridAfter w:val="1"/>
          <w:wAfter w:w="194" w:type="dxa"/>
          <w:trHeight w:val="581" w:hRule="exact"/>
        </w:trPr>
        <w:tc>
          <w:tcPr>
            <w:tcW w:w="3119" w:type="dxa"/>
            <w:gridSpan w:val="5"/>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409"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256"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6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28"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76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409"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6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528"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2762"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一、一般公共预算财政拨款</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1,046.71</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一、一般公共服务支出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28</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二、政府性基金预算财政拨款</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二、外交支出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三、国防支出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30</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四、公共安全支出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31</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五、教育支出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32</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六、科学技术支出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33</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七、文化体育与传媒支出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34</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八、社会保障和就业支出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35</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九、医疗卫生与计划生育支出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36</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十、节能环保支出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37</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十一、城乡社区支出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38</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十二、农林水支出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39</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13</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十三、交通运输支出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40</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14</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十四、资源勘探信息等支出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41</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15</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十五、商业服务业等支出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42</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16</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十六、金融支出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43</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17</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十七、援助其他地区支出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44</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18</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十八、国土海洋气象等支出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45</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19</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十九、住房保障支出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46</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二十、粮油物资储备支出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47</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21</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二十一、其他支出</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48</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本年收入合计</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22</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1,046.71</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本年支出合计</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49</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1,042.09</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1,042.09</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年初财政拨款结转和结余</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23</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年末财政拨款结转和结余</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50</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4.62</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4.62</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一般公共预算财政拨款</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24</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51</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政府性基金预算财政拨款</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25</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52</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26</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53</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94" w:type="dxa"/>
          <w:trHeight w:val="284" w:hRule="exact"/>
        </w:trPr>
        <w:tc>
          <w:tcPr>
            <w:tcW w:w="3119"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总计</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27</w:t>
            </w:r>
          </w:p>
        </w:tc>
        <w:tc>
          <w:tcPr>
            <w:tcW w:w="140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1,046.71</w:t>
            </w:r>
          </w:p>
        </w:tc>
        <w:tc>
          <w:tcPr>
            <w:tcW w:w="3256"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总计</w:t>
            </w:r>
          </w:p>
        </w:tc>
        <w:tc>
          <w:tcPr>
            <w:tcW w:w="1565"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54</w:t>
            </w:r>
          </w:p>
        </w:tc>
        <w:tc>
          <w:tcPr>
            <w:tcW w:w="16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1,046.71</w:t>
            </w:r>
          </w:p>
        </w:tc>
        <w:tc>
          <w:tcPr>
            <w:tcW w:w="1528"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1,046.71</w:t>
            </w:r>
          </w:p>
        </w:tc>
        <w:tc>
          <w:tcPr>
            <w:tcW w:w="2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94" w:type="dxa"/>
          <w:trHeight w:val="284" w:hRule="exact"/>
        </w:trPr>
        <w:tc>
          <w:tcPr>
            <w:tcW w:w="15735" w:type="dxa"/>
            <w:gridSpan w:val="27"/>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注：本表反映部门本年度一般公共预算财政拨款和政府性基金预算财政拨款的总收支和年末结转结余的情况。</w:t>
            </w:r>
          </w:p>
        </w:tc>
      </w:tr>
      <w:tr>
        <w:tblPrEx>
          <w:tblLayout w:type="fixed"/>
        </w:tblPrEx>
        <w:trPr>
          <w:gridAfter w:val="1"/>
          <w:wAfter w:w="194" w:type="dxa"/>
          <w:trHeight w:val="567" w:hRule="exact"/>
        </w:trPr>
        <w:tc>
          <w:tcPr>
            <w:tcW w:w="15735" w:type="dxa"/>
            <w:gridSpan w:val="27"/>
            <w:tcBorders>
              <w:top w:val="nil"/>
              <w:left w:val="nil"/>
              <w:bottom w:val="nil"/>
              <w:right w:val="nil"/>
            </w:tcBorders>
            <w:shd w:val="clear" w:color="auto" w:fill="auto"/>
            <w:vAlign w:val="center"/>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一般公共预算财政拨款收入支出决算表</w:t>
            </w:r>
          </w:p>
          <w:p>
            <w:pPr>
              <w:widowControl/>
              <w:jc w:val="center"/>
              <w:rPr>
                <w:rFonts w:ascii="宋体" w:hAnsi="宋体" w:eastAsia="宋体" w:cs="Arial"/>
                <w:color w:val="000000"/>
                <w:kern w:val="0"/>
                <w:sz w:val="30"/>
                <w:szCs w:val="30"/>
              </w:rPr>
            </w:pPr>
          </w:p>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一般公共预算财政拨款收入支出决算表</w:t>
            </w: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194" w:type="dxa"/>
          <w:trHeight w:val="567" w:hRule="exact"/>
        </w:trPr>
        <w:tc>
          <w:tcPr>
            <w:tcW w:w="437"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p>
            <w:pPr>
              <w:widowControl/>
              <w:jc w:val="center"/>
              <w:rPr>
                <w:rFonts w:ascii="宋体" w:hAnsi="宋体" w:eastAsia="宋体" w:cs="Arial"/>
                <w:color w:val="000000"/>
                <w:kern w:val="0"/>
                <w:sz w:val="30"/>
                <w:szCs w:val="30"/>
              </w:rPr>
            </w:pPr>
          </w:p>
        </w:tc>
        <w:tc>
          <w:tcPr>
            <w:tcW w:w="4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59"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7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88"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10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8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82"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30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8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82"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946" w:type="dxa"/>
            <w:gridSpan w:val="6"/>
            <w:tcBorders>
              <w:top w:val="nil"/>
              <w:left w:val="nil"/>
              <w:bottom w:val="nil"/>
            </w:tcBorders>
            <w:shd w:val="clear" w:color="auto" w:fill="auto"/>
            <w:vAlign w:val="bottom"/>
          </w:tcPr>
          <w:p>
            <w:pPr>
              <w:widowControl/>
              <w:jc w:val="right"/>
              <w:rPr>
                <w:rFonts w:ascii="宋体" w:hAnsi="宋体" w:eastAsia="宋体" w:cs="Arial"/>
                <w:color w:val="000000"/>
                <w:kern w:val="0"/>
                <w:sz w:val="20"/>
                <w:szCs w:val="20"/>
              </w:rPr>
            </w:pPr>
          </w:p>
          <w:p>
            <w:pPr>
              <w:widowControl/>
              <w:jc w:val="right"/>
              <w:rPr>
                <w:rFonts w:ascii="宋体" w:hAnsi="宋体" w:eastAsia="宋体" w:cs="Arial"/>
                <w:color w:val="000000"/>
                <w:kern w:val="0"/>
                <w:sz w:val="20"/>
                <w:szCs w:val="20"/>
              </w:rPr>
            </w:pPr>
          </w:p>
          <w:p>
            <w:pPr>
              <w:widowControl/>
              <w:jc w:val="right"/>
              <w:rPr>
                <w:rFonts w:ascii="宋体" w:hAnsi="宋体" w:eastAsia="宋体" w:cs="Arial"/>
                <w:color w:val="000000"/>
                <w:kern w:val="0"/>
                <w:sz w:val="20"/>
                <w:szCs w:val="20"/>
              </w:rPr>
            </w:pPr>
          </w:p>
          <w:p>
            <w:pPr>
              <w:widowControl/>
              <w:wordWrap w:val="0"/>
              <w:ind w:right="400"/>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公开05表 </w:t>
            </w:r>
            <w:r>
              <w:rPr>
                <w:rFonts w:ascii="宋体" w:hAnsi="宋体" w:eastAsia="宋体" w:cs="Arial"/>
                <w:color w:val="000000"/>
                <w:kern w:val="0"/>
                <w:sz w:val="20"/>
                <w:szCs w:val="20"/>
              </w:rPr>
              <w:t xml:space="preserve"> </w:t>
            </w:r>
          </w:p>
        </w:tc>
      </w:tr>
      <w:tr>
        <w:tblPrEx>
          <w:tblLayout w:type="fixed"/>
          <w:tblCellMar>
            <w:top w:w="0" w:type="dxa"/>
            <w:left w:w="108" w:type="dxa"/>
            <w:bottom w:w="0" w:type="dxa"/>
            <w:right w:w="108" w:type="dxa"/>
          </w:tblCellMar>
        </w:tblPrEx>
        <w:trPr>
          <w:trHeight w:val="264" w:hRule="atLeast"/>
        </w:trPr>
        <w:tc>
          <w:tcPr>
            <w:tcW w:w="3573" w:type="dxa"/>
            <w:gridSpan w:val="7"/>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部门：南宫市垂杨镇人民政府（本级）</w:t>
            </w:r>
          </w:p>
        </w:tc>
        <w:tc>
          <w:tcPr>
            <w:tcW w:w="737"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888"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10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8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82"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30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8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213"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5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721"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432"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9" w:hRule="atLeast"/>
        </w:trPr>
        <w:tc>
          <w:tcPr>
            <w:tcW w:w="109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2475"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2285"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年初结转和结余</w:t>
            </w:r>
          </w:p>
        </w:tc>
        <w:tc>
          <w:tcPr>
            <w:tcW w:w="2867" w:type="dxa"/>
            <w:gridSpan w:val="4"/>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本年收入</w:t>
            </w:r>
          </w:p>
        </w:tc>
        <w:tc>
          <w:tcPr>
            <w:tcW w:w="3395"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w:t>
            </w:r>
          </w:p>
        </w:tc>
        <w:tc>
          <w:tcPr>
            <w:tcW w:w="3809"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09" w:hRule="atLeast"/>
        </w:trPr>
        <w:tc>
          <w:tcPr>
            <w:tcW w:w="10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475"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3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888"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基本支出结转</w:t>
            </w:r>
          </w:p>
        </w:tc>
        <w:tc>
          <w:tcPr>
            <w:tcW w:w="6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项目支出结转和结余</w:t>
            </w:r>
          </w:p>
        </w:tc>
        <w:tc>
          <w:tcPr>
            <w:tcW w:w="1103"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88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882"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130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88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1213"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65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721"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基本支出结转</w:t>
            </w:r>
          </w:p>
        </w:tc>
        <w:tc>
          <w:tcPr>
            <w:tcW w:w="2432"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项目支出结转和结余</w:t>
            </w:r>
          </w:p>
        </w:tc>
      </w:tr>
      <w:tr>
        <w:tblPrEx>
          <w:tblLayout w:type="fixed"/>
          <w:tblCellMar>
            <w:top w:w="0" w:type="dxa"/>
            <w:left w:w="108" w:type="dxa"/>
            <w:bottom w:w="0" w:type="dxa"/>
            <w:right w:w="108" w:type="dxa"/>
          </w:tblCellMar>
        </w:tblPrEx>
        <w:trPr>
          <w:trHeight w:val="316" w:hRule="atLeast"/>
        </w:trPr>
        <w:tc>
          <w:tcPr>
            <w:tcW w:w="10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475"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8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0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3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13"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2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w:t>
            </w:r>
          </w:p>
        </w:tc>
        <w:tc>
          <w:tcPr>
            <w:tcW w:w="1772"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项目支出结余</w:t>
            </w:r>
          </w:p>
        </w:tc>
      </w:tr>
      <w:tr>
        <w:tblPrEx>
          <w:tblLayout w:type="fixed"/>
        </w:tblPrEx>
        <w:trPr>
          <w:trHeight w:val="615" w:hRule="atLeast"/>
        </w:trPr>
        <w:tc>
          <w:tcPr>
            <w:tcW w:w="10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475"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88"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0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3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13"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2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77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9" w:hRule="atLeast"/>
        </w:trPr>
        <w:tc>
          <w:tcPr>
            <w:tcW w:w="437"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3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4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2259"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73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888"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6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10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88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882"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130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88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882"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987"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721"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6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c>
          <w:tcPr>
            <w:tcW w:w="1772"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13</w:t>
            </w:r>
          </w:p>
        </w:tc>
      </w:tr>
      <w:tr>
        <w:tblPrEx>
          <w:tblLayout w:type="fixed"/>
          <w:tblCellMar>
            <w:top w:w="0" w:type="dxa"/>
            <w:left w:w="108" w:type="dxa"/>
            <w:bottom w:w="0" w:type="dxa"/>
            <w:right w:w="108" w:type="dxa"/>
          </w:tblCellMar>
        </w:tblPrEx>
        <w:trPr>
          <w:trHeight w:val="309" w:hRule="atLeast"/>
        </w:trPr>
        <w:tc>
          <w:tcPr>
            <w:tcW w:w="43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59"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1,046.71</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339.49</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707.22</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1,042.09</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339.49</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702.60</w:t>
            </w:r>
          </w:p>
        </w:tc>
        <w:tc>
          <w:tcPr>
            <w:tcW w:w="98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4.62</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4.62</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一般公共服务支出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113.00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113.00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20103</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政府办公厅（室）及相关机构事务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2010301</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行政运行</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20105</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统计信息事务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2010507</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专项普查活动</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20113</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商贸事务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2011308</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招商引资</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20133</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宣传事务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2013302</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一般行政管理事务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其他一般公共服务支出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2019999</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其他一般公共服务支出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公共安全支出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20499</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其他公共安全支出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2049901</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其他公共安全支出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教育支出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普通教育</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2050203</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初中教育</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社会保障和就业支出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20825</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其他生活救助</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2082502</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其他农村生活救助</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医疗卫生与计划生育支出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21007</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计划生育事务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2100717</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计划生育服务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节能环保支出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21104</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自然生态保护</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2110402</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农村环境保护</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城乡社区公共设施</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2120303</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小城镇基础设施建设</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农林水支出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4.62</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4.62</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农村综合改革</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376.38</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4.62</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4.62</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2130705</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对村民委员会和村党支部的补助</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361.00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361.00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356.38</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356.38</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4.62</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4.62</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2130799</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其他农村综合改革支出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资源勘探信息等支出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21506</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安全生产监管</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2150601</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行政运行</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21508</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支持中小企业发展和管理支出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09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2150899</w:t>
            </w:r>
          </w:p>
        </w:tc>
        <w:tc>
          <w:tcPr>
            <w:tcW w:w="2475" w:type="dxa"/>
            <w:gridSpan w:val="4"/>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其他支持中小企业发展和管理支出</w:t>
            </w:r>
          </w:p>
        </w:tc>
        <w:tc>
          <w:tcPr>
            <w:tcW w:w="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1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30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8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21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77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5929" w:type="dxa"/>
            <w:gridSpan w:val="28"/>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注：本表反映部门本年度一般公共预算财政拨款收入及支出情况。本部门本年度无一般公共预算财政拨款收入及支出情况，按要求以空表列示。</w:t>
            </w:r>
          </w:p>
        </w:tc>
      </w:tr>
      <w:tr>
        <w:tblPrEx>
          <w:tblLayout w:type="fixed"/>
        </w:tblPrEx>
        <w:trPr>
          <w:trHeight w:val="309" w:hRule="atLeast"/>
        </w:trPr>
        <w:tc>
          <w:tcPr>
            <w:tcW w:w="15929" w:type="dxa"/>
            <w:gridSpan w:val="28"/>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2.本表批复到项级科目。</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308" w:type="dxa"/>
        <w:tblInd w:w="544" w:type="dxa"/>
        <w:tblLayout w:type="fixed"/>
        <w:tblCellMar>
          <w:top w:w="0" w:type="dxa"/>
          <w:left w:w="108" w:type="dxa"/>
          <w:bottom w:w="0" w:type="dxa"/>
          <w:right w:w="108" w:type="dxa"/>
        </w:tblCellMar>
      </w:tblPr>
      <w:tblGrid>
        <w:gridCol w:w="436"/>
        <w:gridCol w:w="436"/>
        <w:gridCol w:w="216"/>
        <w:gridCol w:w="221"/>
        <w:gridCol w:w="806"/>
        <w:gridCol w:w="937"/>
        <w:gridCol w:w="937"/>
        <w:gridCol w:w="143"/>
        <w:gridCol w:w="517"/>
        <w:gridCol w:w="730"/>
        <w:gridCol w:w="7"/>
        <w:gridCol w:w="216"/>
        <w:gridCol w:w="542"/>
        <w:gridCol w:w="381"/>
        <w:gridCol w:w="937"/>
        <w:gridCol w:w="921"/>
        <w:gridCol w:w="212"/>
        <w:gridCol w:w="448"/>
        <w:gridCol w:w="755"/>
        <w:gridCol w:w="227"/>
        <w:gridCol w:w="537"/>
        <w:gridCol w:w="236"/>
        <w:gridCol w:w="854"/>
        <w:gridCol w:w="1577"/>
        <w:gridCol w:w="369"/>
        <w:gridCol w:w="1134"/>
        <w:gridCol w:w="561"/>
        <w:gridCol w:w="15"/>
      </w:tblGrid>
      <w:tr>
        <w:tblPrEx>
          <w:tblLayout w:type="fixed"/>
          <w:tblCellMar>
            <w:top w:w="0" w:type="dxa"/>
            <w:left w:w="108" w:type="dxa"/>
            <w:bottom w:w="0" w:type="dxa"/>
            <w:right w:w="108" w:type="dxa"/>
          </w:tblCellMar>
        </w:tblPrEx>
        <w:trPr>
          <w:trHeight w:val="384" w:hRule="atLeast"/>
        </w:trPr>
        <w:tc>
          <w:tcPr>
            <w:tcW w:w="15308" w:type="dxa"/>
            <w:gridSpan w:val="28"/>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一般公共预算财政拨款基本支出决算表</w:t>
            </w:r>
          </w:p>
        </w:tc>
      </w:tr>
      <w:tr>
        <w:tblPrEx>
          <w:tblLayout w:type="fixed"/>
          <w:tblCellMar>
            <w:top w:w="0" w:type="dxa"/>
            <w:left w:w="108" w:type="dxa"/>
            <w:bottom w:w="0" w:type="dxa"/>
            <w:right w:w="108" w:type="dxa"/>
          </w:tblCellMar>
        </w:tblPrEx>
        <w:trPr>
          <w:gridAfter w:val="1"/>
          <w:wAfter w:w="15" w:type="dxa"/>
          <w:trHeight w:val="264" w:hRule="atLeast"/>
        </w:trPr>
        <w:tc>
          <w:tcPr>
            <w:tcW w:w="1088" w:type="dxa"/>
            <w:gridSpan w:val="3"/>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3044" w:type="dxa"/>
            <w:gridSpan w:val="5"/>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247"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765"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451" w:type="dxa"/>
            <w:gridSpan w:val="4"/>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203"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764"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036" w:type="dxa"/>
            <w:gridSpan w:val="4"/>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695"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公开06表</w:t>
            </w:r>
          </w:p>
        </w:tc>
      </w:tr>
      <w:tr>
        <w:tblPrEx>
          <w:tblLayout w:type="fixed"/>
          <w:tblCellMar>
            <w:top w:w="0" w:type="dxa"/>
            <w:left w:w="108" w:type="dxa"/>
            <w:bottom w:w="0" w:type="dxa"/>
            <w:right w:w="108" w:type="dxa"/>
          </w:tblCellMar>
        </w:tblPrEx>
        <w:trPr>
          <w:gridAfter w:val="1"/>
          <w:wAfter w:w="15" w:type="dxa"/>
          <w:trHeight w:val="264" w:hRule="atLeast"/>
        </w:trPr>
        <w:tc>
          <w:tcPr>
            <w:tcW w:w="4132" w:type="dxa"/>
            <w:gridSpan w:val="8"/>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部门：南宫市垂杨镇人民政府（本级）</w:t>
            </w:r>
          </w:p>
        </w:tc>
        <w:tc>
          <w:tcPr>
            <w:tcW w:w="1247" w:type="dxa"/>
            <w:gridSpan w:val="2"/>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765"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451" w:type="dxa"/>
            <w:gridSpan w:val="4"/>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203"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764"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036" w:type="dxa"/>
            <w:gridSpan w:val="4"/>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695"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284" w:hRule="exact"/>
        </w:trPr>
        <w:tc>
          <w:tcPr>
            <w:tcW w:w="5386" w:type="dxa"/>
            <w:gridSpan w:val="11"/>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人员经费</w:t>
            </w:r>
          </w:p>
        </w:tc>
        <w:tc>
          <w:tcPr>
            <w:tcW w:w="9922" w:type="dxa"/>
            <w:gridSpan w:val="17"/>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公用经费</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3044" w:type="dxa"/>
            <w:gridSpan w:val="5"/>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247"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金额</w:t>
            </w:r>
          </w:p>
        </w:tc>
        <w:tc>
          <w:tcPr>
            <w:tcW w:w="765"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2451" w:type="dxa"/>
            <w:gridSpan w:val="4"/>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203"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金额</w:t>
            </w:r>
          </w:p>
        </w:tc>
        <w:tc>
          <w:tcPr>
            <w:tcW w:w="764"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3036" w:type="dxa"/>
            <w:gridSpan w:val="4"/>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695"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金额</w:t>
            </w:r>
          </w:p>
        </w:tc>
      </w:tr>
      <w:tr>
        <w:tblPrEx>
          <w:tblLayout w:type="fixed"/>
        </w:tblPrEx>
        <w:trPr>
          <w:gridAfter w:val="1"/>
          <w:wAfter w:w="15" w:type="dxa"/>
          <w:trHeight w:val="284" w:hRule="exact"/>
        </w:trPr>
        <w:tc>
          <w:tcPr>
            <w:tcW w:w="108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044"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4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6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451"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0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6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036"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9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工资福利支出</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201.13</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商品和服务支出</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25.96</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其他资本性支出</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30101</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基本工资</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132.09</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30201</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办公费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1.53</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31001</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房屋建筑物购建</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30102</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津贴补贴</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38.55</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30202</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印刷费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31002</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办公设备购置</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30103</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奖金</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6.67</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30203</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咨询费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31003</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专用设备购置</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30104</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其他社会保障缴费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30204</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手续费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31005</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基础设施建设</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30106</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伙食补助费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30205</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水费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0.30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31006</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大型修缮</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30107</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绩效工资</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19.16</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30206</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电费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1.29</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31007</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信息网络及软件购置更新</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30108</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机关事业单位基本养老保险缴费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4.67</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30207</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邮电费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1.59</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31008</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物资储备</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30109</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职业年金缴费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30208</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取暖费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31009</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土地补偿</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30199</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其他工资福利支出</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30209</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物业管理费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31010</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安置补助</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对个人和家庭的补助</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112.40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30211</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差旅费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0.50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31011</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地上附着物和青苗补偿</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30301</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离休费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30212</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因公出国（境）费用</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31012</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拆迁补偿</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30302</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退休费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56.59</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30213</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维修(护)费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31013</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公务用车购置</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30303</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退职（役）费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30214</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租赁费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31019</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其他交通工具购置</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30304</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抚恤金</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30215</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会议费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0.99</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31020</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产权参股</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30305</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生活补助</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37.67</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30216</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培训费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31099</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其他资本性支出</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30306</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救济费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30217</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公务接待费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3.10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304</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对企事业单位的补贴</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30307</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医疗费</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30218</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专用材料费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30401</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企业政策性补贴</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30308</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助学金</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30224</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被装购置费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30402</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事业单位补贴</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30309</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奖励金</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16.20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30225</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专用燃料费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30403</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财政贴息</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30310</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生产补贴</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30226</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劳务费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30499</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其他对企事业单位的补贴</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30311</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住房公积金</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30227</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委托业务费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307</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债务利息支出</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30312</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提租补贴</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30228</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工会经费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2.91</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30701</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国内债务付息</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30313</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购房补贴</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30229</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福利费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30707</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国外债务付息</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30314</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采暖补贴</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1.94</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30231</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公务用车运行维护费</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0.80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399</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其他支出</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30315</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物业服务补贴</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30239</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其他交通费用</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12.95</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39906</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赠与</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30399</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其他对个人和家庭的补助支出</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30240</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税金及附加费用</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5" w:type="dxa"/>
          <w:trHeight w:val="284" w:hRule="exact"/>
        </w:trPr>
        <w:tc>
          <w:tcPr>
            <w:tcW w:w="1088" w:type="dxa"/>
            <w:gridSpan w:val="3"/>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044" w:type="dxa"/>
            <w:gridSpan w:val="5"/>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765" w:type="dxa"/>
            <w:gridSpan w:val="3"/>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30299</w:t>
            </w:r>
          </w:p>
        </w:tc>
        <w:tc>
          <w:tcPr>
            <w:tcW w:w="2451"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其他商品和服务支出</w:t>
            </w:r>
          </w:p>
        </w:tc>
        <w:tc>
          <w:tcPr>
            <w:tcW w:w="12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764"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3036" w:type="dxa"/>
            <w:gridSpan w:val="4"/>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5" w:type="dxa"/>
          <w:trHeight w:val="284" w:hRule="exact"/>
        </w:trPr>
        <w:tc>
          <w:tcPr>
            <w:tcW w:w="4132" w:type="dxa"/>
            <w:gridSpan w:val="8"/>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人员经费合计</w:t>
            </w:r>
          </w:p>
        </w:tc>
        <w:tc>
          <w:tcPr>
            <w:tcW w:w="12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313.54</w:t>
            </w:r>
          </w:p>
        </w:tc>
        <w:tc>
          <w:tcPr>
            <w:tcW w:w="8219" w:type="dxa"/>
            <w:gridSpan w:val="1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公用经费合计</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25.96</w:t>
            </w:r>
          </w:p>
        </w:tc>
      </w:tr>
      <w:tr>
        <w:tblPrEx>
          <w:tblLayout w:type="fixed"/>
        </w:tblPrEx>
        <w:trPr>
          <w:trHeight w:val="284" w:hRule="exact"/>
        </w:trPr>
        <w:tc>
          <w:tcPr>
            <w:tcW w:w="15308" w:type="dxa"/>
            <w:gridSpan w:val="28"/>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注：本表反映部门本年度一般公共预算财政拨款基本支出情况。本部门本年度无一般公共预算财政拨款基本支出，按要求以空表列示。</w:t>
            </w:r>
          </w:p>
        </w:tc>
      </w:tr>
      <w:tr>
        <w:tblPrEx>
          <w:tblLayout w:type="fixed"/>
          <w:tblCellMar>
            <w:top w:w="0" w:type="dxa"/>
            <w:left w:w="108" w:type="dxa"/>
            <w:bottom w:w="0" w:type="dxa"/>
            <w:right w:w="108" w:type="dxa"/>
          </w:tblCellMar>
        </w:tblPrEx>
        <w:trPr>
          <w:trHeight w:val="284" w:hRule="exact"/>
        </w:trPr>
        <w:tc>
          <w:tcPr>
            <w:tcW w:w="15308" w:type="dxa"/>
            <w:gridSpan w:val="28"/>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p>
          <w:p>
            <w:pPr>
              <w:widowControl/>
              <w:jc w:val="left"/>
              <w:rPr>
                <w:rFonts w:cs="Arial"/>
                <w:kern w:val="0"/>
                <w:sz w:val="22"/>
                <w:szCs w:val="22"/>
              </w:rPr>
            </w:pPr>
          </w:p>
          <w:p>
            <w:pPr>
              <w:widowControl/>
              <w:jc w:val="left"/>
              <w:rPr>
                <w:rFonts w:ascii="宋体" w:hAnsi="宋体" w:eastAsia="宋体" w:cs="Arial"/>
                <w:color w:val="000000"/>
                <w:kern w:val="0"/>
                <w:sz w:val="22"/>
                <w:szCs w:val="22"/>
              </w:rPr>
            </w:pPr>
          </w:p>
          <w:p>
            <w:pPr>
              <w:widowControl/>
              <w:jc w:val="left"/>
              <w:rPr>
                <w:rFonts w:cs="Arial"/>
                <w:kern w:val="0"/>
                <w:sz w:val="22"/>
                <w:szCs w:val="22"/>
              </w:rPr>
            </w:pPr>
          </w:p>
          <w:p>
            <w:pPr>
              <w:widowControl/>
              <w:jc w:val="left"/>
              <w:rPr>
                <w:rFonts w:cs="Arial"/>
                <w:kern w:val="0"/>
                <w:sz w:val="22"/>
                <w:szCs w:val="22"/>
              </w:rPr>
            </w:pPr>
          </w:p>
          <w:p>
            <w:pPr>
              <w:widowControl/>
              <w:jc w:val="left"/>
              <w:rPr>
                <w:rFonts w:ascii="宋体" w:hAnsi="宋体" w:eastAsia="宋体" w:cs="Arial"/>
                <w:color w:val="000000"/>
                <w:kern w:val="0"/>
                <w:sz w:val="22"/>
                <w:szCs w:val="22"/>
              </w:rPr>
            </w:pPr>
          </w:p>
          <w:p>
            <w:pPr>
              <w:widowControl/>
              <w:jc w:val="left"/>
              <w:rPr>
                <w:rFonts w:cs="Arial"/>
                <w:kern w:val="0"/>
                <w:sz w:val="22"/>
                <w:szCs w:val="22"/>
              </w:rPr>
            </w:pPr>
          </w:p>
          <w:p>
            <w:pPr>
              <w:widowControl/>
              <w:jc w:val="left"/>
              <w:rPr>
                <w:rFonts w:ascii="宋体" w:hAnsi="宋体" w:eastAsia="宋体" w:cs="Arial"/>
                <w:color w:val="000000"/>
                <w:kern w:val="0"/>
                <w:sz w:val="22"/>
                <w:szCs w:val="22"/>
              </w:rPr>
            </w:pPr>
          </w:p>
          <w:p>
            <w:pPr>
              <w:widowControl/>
              <w:jc w:val="left"/>
              <w:rPr>
                <w:rFonts w:cs="Arial"/>
                <w:kern w:val="0"/>
                <w:sz w:val="22"/>
                <w:szCs w:val="22"/>
              </w:rPr>
            </w:pPr>
          </w:p>
          <w:p>
            <w:pPr>
              <w:widowControl/>
              <w:jc w:val="left"/>
              <w:rPr>
                <w:rFonts w:cs="Arial"/>
                <w:kern w:val="0"/>
                <w:sz w:val="22"/>
                <w:szCs w:val="22"/>
              </w:rPr>
            </w:pPr>
          </w:p>
          <w:p>
            <w:pPr>
              <w:widowControl/>
              <w:jc w:val="left"/>
              <w:rPr>
                <w:rFonts w:ascii="宋体" w:hAnsi="宋体" w:eastAsia="宋体" w:cs="Arial"/>
                <w:color w:val="000000"/>
                <w:kern w:val="0"/>
                <w:sz w:val="22"/>
                <w:szCs w:val="22"/>
              </w:rPr>
            </w:pPr>
          </w:p>
          <w:p>
            <w:pPr>
              <w:widowControl/>
              <w:jc w:val="left"/>
              <w:rPr>
                <w:rFonts w:cs="Arial"/>
                <w:kern w:val="0"/>
                <w:sz w:val="22"/>
                <w:szCs w:val="22"/>
              </w:rPr>
            </w:pPr>
          </w:p>
          <w:p>
            <w:pPr>
              <w:widowControl/>
              <w:jc w:val="left"/>
              <w:rPr>
                <w:rFonts w:ascii="宋体" w:hAnsi="宋体" w:eastAsia="宋体" w:cs="Arial"/>
                <w:color w:val="000000"/>
                <w:kern w:val="0"/>
                <w:sz w:val="22"/>
                <w:szCs w:val="22"/>
              </w:rPr>
            </w:pPr>
          </w:p>
          <w:p>
            <w:pPr>
              <w:widowControl/>
              <w:jc w:val="left"/>
              <w:rPr>
                <w:rFonts w:cs="Arial"/>
                <w:kern w:val="0"/>
                <w:sz w:val="22"/>
                <w:szCs w:val="22"/>
              </w:rPr>
            </w:pPr>
          </w:p>
          <w:p>
            <w:pPr>
              <w:widowControl/>
              <w:jc w:val="left"/>
              <w:rPr>
                <w:rFonts w:cs="Arial"/>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ascii="宋体" w:hAnsi="宋体" w:eastAsia="宋体" w:cs="Arial"/>
                <w:color w:val="000000"/>
                <w:kern w:val="0"/>
                <w:sz w:val="22"/>
                <w:szCs w:val="22"/>
              </w:rPr>
            </w:pPr>
          </w:p>
          <w:p>
            <w:pPr>
              <w:widowControl/>
              <w:jc w:val="left"/>
              <w:rPr>
                <w:rFonts w:cs="Arial"/>
                <w:kern w:val="0"/>
                <w:sz w:val="22"/>
                <w:szCs w:val="22"/>
              </w:rPr>
            </w:pPr>
          </w:p>
          <w:p>
            <w:pPr>
              <w:widowControl/>
              <w:jc w:val="left"/>
              <w:rPr>
                <w:rFonts w:cs="Arial"/>
                <w:kern w:val="0"/>
                <w:sz w:val="22"/>
                <w:szCs w:val="22"/>
              </w:rPr>
            </w:pPr>
          </w:p>
          <w:p>
            <w:pPr>
              <w:widowControl/>
              <w:jc w:val="left"/>
              <w:rPr>
                <w:rFonts w:cs="Arial"/>
                <w:kern w:val="0"/>
                <w:sz w:val="22"/>
                <w:szCs w:val="22"/>
              </w:rPr>
            </w:pPr>
          </w:p>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284" w:hRule="exact"/>
        </w:trPr>
        <w:tc>
          <w:tcPr>
            <w:tcW w:w="15308" w:type="dxa"/>
            <w:gridSpan w:val="28"/>
            <w:tcBorders>
              <w:top w:val="nil"/>
              <w:left w:val="nil"/>
              <w:bottom w:val="nil"/>
              <w:right w:val="nil"/>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政府性基金预算财政拨款收入支出决算表</w:t>
            </w:r>
          </w:p>
        </w:tc>
      </w:tr>
      <w:tr>
        <w:tblPrEx>
          <w:tblLayout w:type="fixed"/>
          <w:tblCellMar>
            <w:top w:w="0" w:type="dxa"/>
            <w:left w:w="108" w:type="dxa"/>
            <w:bottom w:w="0" w:type="dxa"/>
            <w:right w:w="108" w:type="dxa"/>
          </w:tblCellMar>
        </w:tblPrEx>
        <w:trPr>
          <w:gridAfter w:val="2"/>
          <w:wAfter w:w="576" w:type="dxa"/>
          <w:trHeight w:val="264" w:hRule="atLeast"/>
        </w:trPr>
        <w:tc>
          <w:tcPr>
            <w:tcW w:w="43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4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7"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0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6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53"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23"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2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6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82"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773"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934" w:type="dxa"/>
            <w:gridSpan w:val="4"/>
            <w:vMerge w:val="restart"/>
            <w:tcBorders>
              <w:top w:val="nil"/>
              <w:lef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p>
            <w:pPr>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2"/>
          <w:wAfter w:w="576" w:type="dxa"/>
          <w:trHeight w:val="264" w:hRule="atLeast"/>
        </w:trPr>
        <w:tc>
          <w:tcPr>
            <w:tcW w:w="3989" w:type="dxa"/>
            <w:gridSpan w:val="7"/>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部门：南宫市垂杨镇人民政府（本级）</w:t>
            </w:r>
          </w:p>
        </w:tc>
        <w:tc>
          <w:tcPr>
            <w:tcW w:w="660" w:type="dxa"/>
            <w:gridSpan w:val="2"/>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953" w:type="dxa"/>
            <w:gridSpan w:val="3"/>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23"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2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6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82"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773"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934" w:type="dxa"/>
            <w:gridSpan w:val="4"/>
            <w:vMerge w:val="continue"/>
            <w:tcBorders>
              <w:left w:val="nil"/>
              <w:bottom w:val="nil"/>
            </w:tcBorders>
            <w:shd w:val="clear" w:color="auto" w:fill="auto"/>
            <w:vAlign w:val="bottom"/>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gridAfter w:val="2"/>
          <w:wAfter w:w="576" w:type="dxa"/>
          <w:trHeight w:val="309" w:hRule="atLeast"/>
        </w:trPr>
        <w:tc>
          <w:tcPr>
            <w:tcW w:w="1309" w:type="dxa"/>
            <w:gridSpan w:val="4"/>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80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2534" w:type="dxa"/>
            <w:gridSpan w:val="4"/>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年初结转和结余</w:t>
            </w:r>
          </w:p>
        </w:tc>
        <w:tc>
          <w:tcPr>
            <w:tcW w:w="2813"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本年收入</w:t>
            </w:r>
          </w:p>
        </w:tc>
        <w:tc>
          <w:tcPr>
            <w:tcW w:w="2563"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w:t>
            </w:r>
          </w:p>
        </w:tc>
        <w:tc>
          <w:tcPr>
            <w:tcW w:w="4707"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年末结转和结余</w:t>
            </w:r>
          </w:p>
        </w:tc>
      </w:tr>
      <w:tr>
        <w:tblPrEx>
          <w:tblLayout w:type="fixed"/>
        </w:tblPrEx>
        <w:trPr>
          <w:gridAfter w:val="2"/>
          <w:wAfter w:w="576" w:type="dxa"/>
          <w:trHeight w:val="309" w:hRule="atLeast"/>
        </w:trPr>
        <w:tc>
          <w:tcPr>
            <w:tcW w:w="130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3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93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基本支出结转</w:t>
            </w:r>
          </w:p>
        </w:tc>
        <w:tc>
          <w:tcPr>
            <w:tcW w:w="66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项目支出结转和结余</w:t>
            </w:r>
          </w:p>
        </w:tc>
        <w:tc>
          <w:tcPr>
            <w:tcW w:w="953"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923"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93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92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66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982"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773"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85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基本支出结转</w:t>
            </w:r>
          </w:p>
        </w:tc>
        <w:tc>
          <w:tcPr>
            <w:tcW w:w="308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项目支出结转和结余</w:t>
            </w:r>
          </w:p>
        </w:tc>
      </w:tr>
      <w:tr>
        <w:tblPrEx>
          <w:tblLayout w:type="fixed"/>
          <w:tblCellMar>
            <w:top w:w="0" w:type="dxa"/>
            <w:left w:w="108" w:type="dxa"/>
            <w:bottom w:w="0" w:type="dxa"/>
            <w:right w:w="108" w:type="dxa"/>
          </w:tblCellMar>
        </w:tblPrEx>
        <w:trPr>
          <w:gridAfter w:val="2"/>
          <w:wAfter w:w="576" w:type="dxa"/>
          <w:trHeight w:val="316" w:hRule="atLeast"/>
        </w:trPr>
        <w:tc>
          <w:tcPr>
            <w:tcW w:w="130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53"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2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2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7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7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项目支出结转</w:t>
            </w:r>
          </w:p>
        </w:tc>
        <w:tc>
          <w:tcPr>
            <w:tcW w:w="1503"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项目支出结余</w:t>
            </w:r>
          </w:p>
        </w:tc>
      </w:tr>
      <w:tr>
        <w:tblPrEx>
          <w:tblLayout w:type="fixed"/>
          <w:tblCellMar>
            <w:top w:w="0" w:type="dxa"/>
            <w:left w:w="108" w:type="dxa"/>
            <w:bottom w:w="0" w:type="dxa"/>
            <w:right w:w="108" w:type="dxa"/>
          </w:tblCellMar>
        </w:tblPrEx>
        <w:trPr>
          <w:gridAfter w:val="2"/>
          <w:wAfter w:w="576" w:type="dxa"/>
          <w:trHeight w:val="615" w:hRule="atLeast"/>
        </w:trPr>
        <w:tc>
          <w:tcPr>
            <w:tcW w:w="130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53"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2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2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7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7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0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2"/>
          <w:wAfter w:w="576" w:type="dxa"/>
          <w:trHeight w:val="309" w:hRule="atLeast"/>
        </w:trPr>
        <w:tc>
          <w:tcPr>
            <w:tcW w:w="43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37"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80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93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93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66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953"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923"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93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92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66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982"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773"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85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157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c>
          <w:tcPr>
            <w:tcW w:w="1503"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13</w:t>
            </w:r>
          </w:p>
        </w:tc>
      </w:tr>
      <w:tr>
        <w:tblPrEx>
          <w:tblLayout w:type="fixed"/>
          <w:tblCellMar>
            <w:top w:w="0" w:type="dxa"/>
            <w:left w:w="108" w:type="dxa"/>
            <w:bottom w:w="0" w:type="dxa"/>
            <w:right w:w="108" w:type="dxa"/>
          </w:tblCellMar>
        </w:tblPrEx>
        <w:trPr>
          <w:gridAfter w:val="2"/>
          <w:wAfter w:w="576" w:type="dxa"/>
          <w:trHeight w:val="309"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0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95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9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9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9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77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8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r>
      <w:tr>
        <w:tblPrEx>
          <w:tblLayout w:type="fixed"/>
          <w:tblCellMar>
            <w:top w:w="0" w:type="dxa"/>
            <w:left w:w="108" w:type="dxa"/>
            <w:bottom w:w="0" w:type="dxa"/>
            <w:right w:w="108" w:type="dxa"/>
          </w:tblCellMar>
        </w:tblPrEx>
        <w:trPr>
          <w:gridAfter w:val="2"/>
          <w:wAfter w:w="576" w:type="dxa"/>
          <w:trHeight w:val="309" w:hRule="atLeast"/>
        </w:trPr>
        <w:tc>
          <w:tcPr>
            <w:tcW w:w="1309"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5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77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PrEx>
        <w:trPr>
          <w:gridAfter w:val="2"/>
          <w:wAfter w:w="576" w:type="dxa"/>
          <w:trHeight w:val="309" w:hRule="atLeast"/>
        </w:trPr>
        <w:tc>
          <w:tcPr>
            <w:tcW w:w="1309"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5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77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76" w:type="dxa"/>
          <w:trHeight w:val="309" w:hRule="atLeast"/>
        </w:trPr>
        <w:tc>
          <w:tcPr>
            <w:tcW w:w="1309"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5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77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76" w:type="dxa"/>
          <w:trHeight w:val="309" w:hRule="atLeast"/>
        </w:trPr>
        <w:tc>
          <w:tcPr>
            <w:tcW w:w="1309"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5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77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76" w:type="dxa"/>
          <w:trHeight w:val="309" w:hRule="atLeast"/>
        </w:trPr>
        <w:tc>
          <w:tcPr>
            <w:tcW w:w="1309"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5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77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76" w:type="dxa"/>
          <w:trHeight w:val="309" w:hRule="atLeast"/>
        </w:trPr>
        <w:tc>
          <w:tcPr>
            <w:tcW w:w="1309"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5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8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77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0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2"/>
          <w:wAfter w:w="576" w:type="dxa"/>
          <w:trHeight w:val="309" w:hRule="atLeast"/>
        </w:trPr>
        <w:tc>
          <w:tcPr>
            <w:tcW w:w="14732" w:type="dxa"/>
            <w:gridSpan w:val="26"/>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注：本表反映部门本年度政府性基金预算财政拨款收入支出及结转和结余情况。本部门本年度无收支及结转结余情况，按要求以空表列示。</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p>
      <w:pPr>
        <w:widowControl/>
        <w:jc w:val="left"/>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p>
    <w:tbl>
      <w:tblPr>
        <w:tblStyle w:val="8"/>
        <w:tblW w:w="15922" w:type="dxa"/>
        <w:tblInd w:w="108" w:type="dxa"/>
        <w:tblLayout w:type="fixed"/>
        <w:tblCellMar>
          <w:top w:w="0" w:type="dxa"/>
          <w:left w:w="108" w:type="dxa"/>
          <w:bottom w:w="0" w:type="dxa"/>
          <w:right w:w="108" w:type="dxa"/>
        </w:tblCellMar>
      </w:tblPr>
      <w:tblGrid>
        <w:gridCol w:w="222"/>
        <w:gridCol w:w="222"/>
        <w:gridCol w:w="222"/>
        <w:gridCol w:w="2311"/>
        <w:gridCol w:w="1937"/>
        <w:gridCol w:w="2406"/>
        <w:gridCol w:w="1937"/>
        <w:gridCol w:w="1970"/>
        <w:gridCol w:w="1937"/>
        <w:gridCol w:w="2741"/>
        <w:gridCol w:w="17"/>
      </w:tblGrid>
      <w:tr>
        <w:tblPrEx>
          <w:tblLayout w:type="fixed"/>
          <w:tblCellMar>
            <w:top w:w="0" w:type="dxa"/>
            <w:left w:w="108" w:type="dxa"/>
            <w:bottom w:w="0" w:type="dxa"/>
            <w:right w:w="108" w:type="dxa"/>
          </w:tblCellMar>
        </w:tblPrEx>
        <w:trPr>
          <w:trHeight w:val="384" w:hRule="atLeast"/>
        </w:trPr>
        <w:tc>
          <w:tcPr>
            <w:tcW w:w="15922" w:type="dxa"/>
            <w:gridSpan w:val="11"/>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国有资本经营预算财政拨款收入支出决算表</w:t>
            </w:r>
          </w:p>
        </w:tc>
      </w:tr>
      <w:tr>
        <w:tblPrEx>
          <w:tblLayout w:type="fixed"/>
          <w:tblCellMar>
            <w:top w:w="0" w:type="dxa"/>
            <w:left w:w="108" w:type="dxa"/>
            <w:bottom w:w="0" w:type="dxa"/>
            <w:right w:w="108" w:type="dxa"/>
          </w:tblCellMar>
        </w:tblPrEx>
        <w:trPr>
          <w:gridAfter w:val="1"/>
          <w:wAfter w:w="17" w:type="dxa"/>
          <w:trHeight w:val="264" w:hRule="atLeast"/>
        </w:trPr>
        <w:tc>
          <w:tcPr>
            <w:tcW w:w="222"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2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1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40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7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41"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公开08表</w:t>
            </w:r>
          </w:p>
        </w:tc>
      </w:tr>
      <w:tr>
        <w:tblPrEx>
          <w:tblLayout w:type="fixed"/>
          <w:tblCellMar>
            <w:top w:w="0" w:type="dxa"/>
            <w:left w:w="108" w:type="dxa"/>
            <w:bottom w:w="0" w:type="dxa"/>
            <w:right w:w="108" w:type="dxa"/>
          </w:tblCellMar>
        </w:tblPrEx>
        <w:trPr>
          <w:gridAfter w:val="1"/>
          <w:wAfter w:w="17" w:type="dxa"/>
          <w:trHeight w:val="264" w:hRule="atLeast"/>
        </w:trPr>
        <w:tc>
          <w:tcPr>
            <w:tcW w:w="2977"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编制单位：南宫市垂杨镇人民政府（本级）</w:t>
            </w:r>
          </w:p>
        </w:tc>
        <w:tc>
          <w:tcPr>
            <w:tcW w:w="1937"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240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center"/>
              <w:rPr>
                <w:rFonts w:ascii="Times New Roman" w:hAnsi="Times New Roman" w:eastAsia="Times New Roman" w:cs="Times New Roman"/>
                <w:kern w:val="0"/>
                <w:sz w:val="20"/>
                <w:szCs w:val="20"/>
              </w:rPr>
            </w:pPr>
          </w:p>
        </w:tc>
        <w:tc>
          <w:tcPr>
            <w:tcW w:w="197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41"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17" w:type="dxa"/>
          <w:trHeight w:val="316" w:hRule="atLeast"/>
        </w:trPr>
        <w:tc>
          <w:tcPr>
            <w:tcW w:w="2977" w:type="dxa"/>
            <w:gridSpan w:val="4"/>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w:t>
            </w:r>
          </w:p>
        </w:tc>
        <w:tc>
          <w:tcPr>
            <w:tcW w:w="1937"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年初结转和结余</w:t>
            </w:r>
          </w:p>
        </w:tc>
        <w:tc>
          <w:tcPr>
            <w:tcW w:w="240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本年收入</w:t>
            </w:r>
          </w:p>
        </w:tc>
        <w:tc>
          <w:tcPr>
            <w:tcW w:w="5844"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w:t>
            </w:r>
          </w:p>
        </w:tc>
        <w:tc>
          <w:tcPr>
            <w:tcW w:w="274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年末结转和结余</w:t>
            </w:r>
          </w:p>
        </w:tc>
      </w:tr>
      <w:tr>
        <w:tblPrEx>
          <w:tblLayout w:type="fixed"/>
          <w:tblCellMar>
            <w:top w:w="0" w:type="dxa"/>
            <w:left w:w="108" w:type="dxa"/>
            <w:bottom w:w="0" w:type="dxa"/>
            <w:right w:w="108" w:type="dxa"/>
          </w:tblCellMar>
        </w:tblPrEx>
        <w:trPr>
          <w:gridAfter w:val="1"/>
          <w:wAfter w:w="17" w:type="dxa"/>
          <w:trHeight w:val="316" w:hRule="atLeast"/>
        </w:trPr>
        <w:tc>
          <w:tcPr>
            <w:tcW w:w="2977"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9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4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584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7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PrEx>
        <w:trPr>
          <w:gridAfter w:val="1"/>
          <w:wAfter w:w="17" w:type="dxa"/>
          <w:trHeight w:val="316"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功能分类科目编码</w:t>
            </w:r>
          </w:p>
        </w:tc>
        <w:tc>
          <w:tcPr>
            <w:tcW w:w="231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9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4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93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小计</w:t>
            </w:r>
          </w:p>
        </w:tc>
        <w:tc>
          <w:tcPr>
            <w:tcW w:w="197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193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27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17" w:type="dxa"/>
          <w:trHeight w:val="316"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3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9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4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9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9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9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7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17" w:type="dxa"/>
          <w:trHeight w:val="309" w:hRule="atLeast"/>
        </w:trPr>
        <w:tc>
          <w:tcPr>
            <w:tcW w:w="2977"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93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240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93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97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93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274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r>
      <w:tr>
        <w:tblPrEx>
          <w:tblLayout w:type="fixed"/>
          <w:tblCellMar>
            <w:top w:w="0" w:type="dxa"/>
            <w:left w:w="108" w:type="dxa"/>
            <w:bottom w:w="0" w:type="dxa"/>
            <w:right w:w="108" w:type="dxa"/>
          </w:tblCellMar>
        </w:tblPrEx>
        <w:trPr>
          <w:gridAfter w:val="1"/>
          <w:wAfter w:w="17" w:type="dxa"/>
          <w:trHeight w:val="309" w:hRule="atLeast"/>
        </w:trPr>
        <w:tc>
          <w:tcPr>
            <w:tcW w:w="2977"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4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9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17" w:type="dxa"/>
          <w:trHeight w:val="309" w:hRule="atLeast"/>
        </w:trPr>
        <w:tc>
          <w:tcPr>
            <w:tcW w:w="66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3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4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7" w:type="dxa"/>
          <w:trHeight w:val="309" w:hRule="atLeast"/>
        </w:trPr>
        <w:tc>
          <w:tcPr>
            <w:tcW w:w="66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3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4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PrEx>
        <w:trPr>
          <w:gridAfter w:val="1"/>
          <w:wAfter w:w="17" w:type="dxa"/>
          <w:trHeight w:val="309" w:hRule="atLeast"/>
        </w:trPr>
        <w:tc>
          <w:tcPr>
            <w:tcW w:w="66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3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4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7" w:type="dxa"/>
          <w:trHeight w:val="309" w:hRule="atLeast"/>
        </w:trPr>
        <w:tc>
          <w:tcPr>
            <w:tcW w:w="66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3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4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7" w:type="dxa"/>
          <w:trHeight w:val="309" w:hRule="atLeast"/>
        </w:trPr>
        <w:tc>
          <w:tcPr>
            <w:tcW w:w="66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3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4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17" w:type="dxa"/>
          <w:trHeight w:val="309" w:hRule="atLeast"/>
        </w:trPr>
        <w:tc>
          <w:tcPr>
            <w:tcW w:w="66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31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4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9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27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trPr>
        <w:tc>
          <w:tcPr>
            <w:tcW w:w="15922" w:type="dxa"/>
            <w:gridSpan w:val="11"/>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注：本表反映部门本年度国有资本经营预算财政拨款支出情况。本部门本年度无相关支出情况，按要求以空表列示。</w:t>
            </w:r>
          </w:p>
        </w:tc>
      </w:tr>
      <w:tr>
        <w:tblPrEx>
          <w:tblLayout w:type="fixed"/>
          <w:tblCellMar>
            <w:top w:w="0" w:type="dxa"/>
            <w:left w:w="108" w:type="dxa"/>
            <w:bottom w:w="0" w:type="dxa"/>
            <w:right w:w="108" w:type="dxa"/>
          </w:tblCellMar>
        </w:tblPrEx>
        <w:trPr>
          <w:gridAfter w:val="1"/>
          <w:wAfter w:w="17" w:type="dxa"/>
          <w:trHeight w:val="264" w:hRule="atLeast"/>
        </w:trPr>
        <w:tc>
          <w:tcPr>
            <w:tcW w:w="222"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2"/>
                <w:szCs w:val="22"/>
              </w:rPr>
            </w:pPr>
          </w:p>
        </w:tc>
        <w:tc>
          <w:tcPr>
            <w:tcW w:w="2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1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40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7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4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r>
        <w:tblPrEx>
          <w:tblLayout w:type="fixed"/>
        </w:tblPrEx>
        <w:trPr>
          <w:gridAfter w:val="1"/>
          <w:wAfter w:w="17" w:type="dxa"/>
          <w:trHeight w:val="264" w:hRule="atLeast"/>
        </w:trPr>
        <w:tc>
          <w:tcPr>
            <w:tcW w:w="2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1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40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8.%d —</w:t>
            </w:r>
          </w:p>
        </w:tc>
        <w:tc>
          <w:tcPr>
            <w:tcW w:w="1937"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97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3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4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823" w:type="dxa"/>
        <w:tblInd w:w="108" w:type="dxa"/>
        <w:tblLayout w:type="fixed"/>
        <w:tblCellMar>
          <w:top w:w="0" w:type="dxa"/>
          <w:left w:w="108" w:type="dxa"/>
          <w:bottom w:w="0" w:type="dxa"/>
          <w:right w:w="108" w:type="dxa"/>
        </w:tblCellMar>
      </w:tblPr>
      <w:tblGrid>
        <w:gridCol w:w="4536"/>
        <w:gridCol w:w="651"/>
        <w:gridCol w:w="955"/>
        <w:gridCol w:w="1010"/>
        <w:gridCol w:w="6031"/>
        <w:gridCol w:w="651"/>
        <w:gridCol w:w="1983"/>
        <w:gridCol w:w="6"/>
      </w:tblGrid>
      <w:tr>
        <w:tblPrEx>
          <w:tblLayout w:type="fixed"/>
          <w:tblCellMar>
            <w:top w:w="0" w:type="dxa"/>
            <w:left w:w="108" w:type="dxa"/>
            <w:bottom w:w="0" w:type="dxa"/>
            <w:right w:w="108" w:type="dxa"/>
          </w:tblCellMar>
        </w:tblPrEx>
        <w:trPr>
          <w:trHeight w:val="384" w:hRule="atLeast"/>
        </w:trPr>
        <w:tc>
          <w:tcPr>
            <w:tcW w:w="15823" w:type="dxa"/>
            <w:gridSpan w:val="8"/>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"三公"经费及相关信息统计表</w:t>
            </w:r>
          </w:p>
        </w:tc>
      </w:tr>
      <w:tr>
        <w:tblPrEx>
          <w:tblLayout w:type="fixed"/>
          <w:tblCellMar>
            <w:top w:w="0" w:type="dxa"/>
            <w:left w:w="108" w:type="dxa"/>
            <w:bottom w:w="0" w:type="dxa"/>
            <w:right w:w="108" w:type="dxa"/>
          </w:tblCellMar>
        </w:tblPrEx>
        <w:trPr>
          <w:gridAfter w:val="1"/>
          <w:wAfter w:w="6" w:type="dxa"/>
          <w:trHeight w:val="264" w:hRule="atLeast"/>
        </w:trPr>
        <w:tc>
          <w:tcPr>
            <w:tcW w:w="453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5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01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03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83"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公开09表</w:t>
            </w:r>
          </w:p>
        </w:tc>
      </w:tr>
      <w:tr>
        <w:tblPrEx>
          <w:tblLayout w:type="fixed"/>
          <w:tblCellMar>
            <w:top w:w="0" w:type="dxa"/>
            <w:left w:w="108" w:type="dxa"/>
            <w:bottom w:w="0" w:type="dxa"/>
            <w:right w:w="108" w:type="dxa"/>
          </w:tblCellMar>
        </w:tblPrEx>
        <w:trPr>
          <w:gridAfter w:val="1"/>
          <w:wAfter w:w="6" w:type="dxa"/>
          <w:trHeight w:val="264" w:hRule="atLeast"/>
        </w:trPr>
        <w:tc>
          <w:tcPr>
            <w:tcW w:w="45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编制单位：南宫市垂杨镇人民政府（本级）</w:t>
            </w:r>
          </w:p>
        </w:tc>
        <w:tc>
          <w:tcPr>
            <w:tcW w:w="651"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95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01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031" w:type="dxa"/>
            <w:tcBorders>
              <w:top w:val="nil"/>
              <w:left w:val="nil"/>
              <w:bottom w:val="nil"/>
              <w:right w:val="nil"/>
            </w:tcBorders>
            <w:shd w:val="clear" w:color="auto" w:fill="auto"/>
            <w:vAlign w:val="bottom"/>
          </w:tcPr>
          <w:p>
            <w:pPr>
              <w:widowControl/>
              <w:jc w:val="center"/>
              <w:rPr>
                <w:rFonts w:ascii="Times New Roman" w:hAnsi="Times New Roman" w:eastAsia="Times New Roman" w:cs="Times New Roman"/>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83"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65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行次</w:t>
            </w:r>
          </w:p>
        </w:tc>
        <w:tc>
          <w:tcPr>
            <w:tcW w:w="955" w:type="dxa"/>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预算数</w:t>
            </w:r>
          </w:p>
        </w:tc>
        <w:tc>
          <w:tcPr>
            <w:tcW w:w="1010" w:type="dxa"/>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统计数</w:t>
            </w:r>
          </w:p>
        </w:tc>
        <w:tc>
          <w:tcPr>
            <w:tcW w:w="6031" w:type="dxa"/>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65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行次</w:t>
            </w:r>
          </w:p>
        </w:tc>
        <w:tc>
          <w:tcPr>
            <w:tcW w:w="1983" w:type="dxa"/>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统计数</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  次</w:t>
            </w:r>
          </w:p>
        </w:tc>
        <w:tc>
          <w:tcPr>
            <w:tcW w:w="6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5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01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603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  次</w:t>
            </w:r>
          </w:p>
        </w:tc>
        <w:tc>
          <w:tcPr>
            <w:tcW w:w="6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98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r>
      <w:tr>
        <w:tblPrEx>
          <w:tblLayout w:type="fixed"/>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一、“三公”经费支出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二、机关运行经费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22</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25.96</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（一）支出合计</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6.20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三、国有资产占用情况</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22</w:t>
            </w:r>
          </w:p>
        </w:tc>
        <w:tc>
          <w:tcPr>
            <w:tcW w:w="19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1．因公出国（境）费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（一）车辆数合计（辆）</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23</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2．公务用车购置及运行维护费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1．部级领导干部用车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24</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（1）公务用车购置费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2．一般公务用车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25</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（2）公务用车运行维护费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3．一般执法执勤用车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26</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3．公务接待费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3.20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3.10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4．特种专业技术用车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27</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（1）国内接待费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3.20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3.10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5．其他用车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28</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（二）单价50万元以上通用设备（台，套）</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（2）国（境）外接待费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（三）单价100万元以上专用设备（台，套）</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30</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（二）相关统计数</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32</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1．因公出国（境）团组数（个）</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33</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2．因公出国（境）人次数（人）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13</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34</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3．公务用车购置数（辆）</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14</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35</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4．公务用车保有量（辆）</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15</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36</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5．国内公务接待批次（个）</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16</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37</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其中：外事接待批次（个）</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17</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38</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6．国内公务接待人次（人）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18</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600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39</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其中：外事接待人次（人）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19</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40</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7．国（境）外公务接待批次（个）</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41</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8．国（境）外公务接待人次（人）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21</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42</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trPr>
        <w:tc>
          <w:tcPr>
            <w:tcW w:w="15823" w:type="dxa"/>
            <w:gridSpan w:val="8"/>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注：本表反映部门本年度“三公”经费、机关运行经费和国有资产占用情况等相关统计指标。本部门本年度无相关支出情况，按要求以空表列示。</w:t>
            </w:r>
          </w:p>
        </w:tc>
      </w:tr>
      <w:tr>
        <w:tblPrEx>
          <w:tblLayout w:type="fixed"/>
          <w:tblCellMar>
            <w:top w:w="0" w:type="dxa"/>
            <w:left w:w="108" w:type="dxa"/>
            <w:bottom w:w="0" w:type="dxa"/>
            <w:right w:w="108" w:type="dxa"/>
          </w:tblCellMar>
        </w:tblPrEx>
        <w:trPr>
          <w:gridAfter w:val="1"/>
          <w:wAfter w:w="6" w:type="dxa"/>
          <w:trHeight w:val="264" w:hRule="atLeast"/>
        </w:trPr>
        <w:tc>
          <w:tcPr>
            <w:tcW w:w="45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5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01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03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8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gridAfter w:val="1"/>
          <w:wAfter w:w="6" w:type="dxa"/>
          <w:trHeight w:val="264" w:hRule="atLeast"/>
        </w:trPr>
        <w:tc>
          <w:tcPr>
            <w:tcW w:w="45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55" w:type="dxa"/>
            <w:tcBorders>
              <w:top w:val="nil"/>
              <w:left w:val="nil"/>
              <w:bottom w:val="nil"/>
              <w:right w:val="nil"/>
            </w:tcBorders>
            <w:shd w:val="clear" w:color="auto" w:fill="auto"/>
            <w:vAlign w:val="bottom"/>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 xml:space="preserve"> </w:t>
            </w:r>
            <w:r>
              <w:rPr>
                <w:rFonts w:ascii="Times New Roman" w:hAnsi="Times New Roman" w:cs="Times New Roman"/>
                <w:kern w:val="0"/>
                <w:sz w:val="20"/>
                <w:szCs w:val="20"/>
              </w:rPr>
              <w:t xml:space="preserve">            </w:t>
            </w:r>
          </w:p>
        </w:tc>
        <w:tc>
          <w:tcPr>
            <w:tcW w:w="101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9 —</w:t>
            </w:r>
          </w:p>
        </w:tc>
        <w:tc>
          <w:tcPr>
            <w:tcW w:w="6031"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8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bl>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p>
      <w:pPr>
        <w:widowControl/>
        <w:jc w:val="left"/>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p>
    <w:tbl>
      <w:tblPr>
        <w:tblStyle w:val="8"/>
        <w:tblW w:w="15213" w:type="dxa"/>
        <w:tblInd w:w="108" w:type="dxa"/>
        <w:tblLayout w:type="fixed"/>
        <w:tblCellMar>
          <w:top w:w="0" w:type="dxa"/>
          <w:left w:w="108" w:type="dxa"/>
          <w:bottom w:w="0" w:type="dxa"/>
          <w:right w:w="108" w:type="dxa"/>
        </w:tblCellMar>
      </w:tblPr>
      <w:tblGrid>
        <w:gridCol w:w="1946"/>
        <w:gridCol w:w="2194"/>
        <w:gridCol w:w="809"/>
        <w:gridCol w:w="2323"/>
        <w:gridCol w:w="2702"/>
        <w:gridCol w:w="2217"/>
        <w:gridCol w:w="3022"/>
      </w:tblGrid>
      <w:tr>
        <w:tblPrEx>
          <w:tblLayout w:type="fixed"/>
          <w:tblCellMar>
            <w:top w:w="0" w:type="dxa"/>
            <w:left w:w="108" w:type="dxa"/>
            <w:bottom w:w="0" w:type="dxa"/>
            <w:right w:w="108" w:type="dxa"/>
          </w:tblCellMar>
        </w:tblPrEx>
        <w:trPr>
          <w:trHeight w:val="384" w:hRule="atLeast"/>
        </w:trPr>
        <w:tc>
          <w:tcPr>
            <w:tcW w:w="15213" w:type="dxa"/>
            <w:gridSpan w:val="7"/>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ascii="仿宋" w:hAnsi="仿宋" w:eastAsia="仿宋" w:cstheme="majorEastAsia"/>
                <w:b/>
                <w:bCs/>
                <w:color w:val="000000"/>
                <w:sz w:val="32"/>
                <w:szCs w:val="32"/>
                <w:shd w:val="clear" w:color="auto" w:fill="FFFFFF"/>
              </w:rPr>
              <w:br w:type="page"/>
            </w:r>
            <w:r>
              <w:rPr>
                <w:rFonts w:hint="eastAsia" w:ascii="宋体" w:hAnsi="宋体" w:eastAsia="宋体" w:cs="Arial"/>
                <w:color w:val="000000"/>
                <w:kern w:val="0"/>
                <w:sz w:val="30"/>
                <w:szCs w:val="30"/>
              </w:rPr>
              <w:t>政府采购情况表</w:t>
            </w:r>
          </w:p>
        </w:tc>
      </w:tr>
      <w:tr>
        <w:tblPrEx>
          <w:tblLayout w:type="fixed"/>
          <w:tblCellMar>
            <w:top w:w="0" w:type="dxa"/>
            <w:left w:w="108" w:type="dxa"/>
            <w:bottom w:w="0" w:type="dxa"/>
            <w:right w:w="108" w:type="dxa"/>
          </w:tblCellMar>
        </w:tblPrEx>
        <w:trPr>
          <w:trHeight w:val="264" w:hRule="atLeast"/>
        </w:trPr>
        <w:tc>
          <w:tcPr>
            <w:tcW w:w="194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2194"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09"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2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0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1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022"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公开10表</w:t>
            </w:r>
          </w:p>
        </w:tc>
      </w:tr>
      <w:tr>
        <w:tblPrEx>
          <w:tblLayout w:type="fixed"/>
          <w:tblCellMar>
            <w:top w:w="0" w:type="dxa"/>
            <w:left w:w="108" w:type="dxa"/>
            <w:bottom w:w="0" w:type="dxa"/>
            <w:right w:w="108" w:type="dxa"/>
          </w:tblCellMar>
        </w:tblPrEx>
        <w:trPr>
          <w:trHeight w:val="264" w:hRule="atLeast"/>
        </w:trPr>
        <w:tc>
          <w:tcPr>
            <w:tcW w:w="4140" w:type="dxa"/>
            <w:gridSpan w:val="2"/>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编制单位：南宫市垂杨镇人民政府（本级）</w:t>
            </w:r>
          </w:p>
        </w:tc>
        <w:tc>
          <w:tcPr>
            <w:tcW w:w="809"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232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0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1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022"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9" w:hRule="atLeast"/>
        </w:trPr>
        <w:tc>
          <w:tcPr>
            <w:tcW w:w="1946"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3267"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采购计划金额</w:t>
            </w:r>
          </w:p>
        </w:tc>
      </w:tr>
      <w:tr>
        <w:tblPrEx>
          <w:tblLayout w:type="fixed"/>
          <w:tblCellMar>
            <w:top w:w="0" w:type="dxa"/>
            <w:left w:w="108" w:type="dxa"/>
            <w:bottom w:w="0" w:type="dxa"/>
            <w:right w:w="108" w:type="dxa"/>
          </w:tblCellMar>
        </w:tblPrEx>
        <w:trPr>
          <w:trHeight w:val="309" w:hRule="atLeast"/>
        </w:trPr>
        <w:tc>
          <w:tcPr>
            <w:tcW w:w="19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19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总计</w:t>
            </w:r>
          </w:p>
        </w:tc>
        <w:tc>
          <w:tcPr>
            <w:tcW w:w="8051"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采购预算(财政性资金)</w:t>
            </w:r>
          </w:p>
        </w:tc>
        <w:tc>
          <w:tcPr>
            <w:tcW w:w="302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非财政性资金</w:t>
            </w:r>
          </w:p>
        </w:tc>
      </w:tr>
      <w:tr>
        <w:tblPrEx>
          <w:tblLayout w:type="fixed"/>
        </w:tblPrEx>
        <w:trPr>
          <w:trHeight w:val="309" w:hRule="atLeast"/>
        </w:trPr>
        <w:tc>
          <w:tcPr>
            <w:tcW w:w="19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19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0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232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w:t>
            </w:r>
          </w:p>
        </w:tc>
        <w:tc>
          <w:tcPr>
            <w:tcW w:w="270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w:t>
            </w:r>
          </w:p>
        </w:tc>
        <w:tc>
          <w:tcPr>
            <w:tcW w:w="22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其他资金</w:t>
            </w:r>
          </w:p>
        </w:tc>
        <w:tc>
          <w:tcPr>
            <w:tcW w:w="302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219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80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232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270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22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302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      计</w:t>
            </w:r>
          </w:p>
        </w:tc>
        <w:tc>
          <w:tcPr>
            <w:tcW w:w="2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货物</w:t>
            </w:r>
          </w:p>
        </w:tc>
        <w:tc>
          <w:tcPr>
            <w:tcW w:w="2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工程</w:t>
            </w:r>
          </w:p>
        </w:tc>
        <w:tc>
          <w:tcPr>
            <w:tcW w:w="2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服务</w:t>
            </w:r>
          </w:p>
        </w:tc>
        <w:tc>
          <w:tcPr>
            <w:tcW w:w="2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94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3267" w:type="dxa"/>
            <w:gridSpan w:val="6"/>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实际采购金额</w:t>
            </w:r>
          </w:p>
        </w:tc>
      </w:tr>
      <w:tr>
        <w:tblPrEx>
          <w:tblLayout w:type="fixed"/>
          <w:tblCellMar>
            <w:top w:w="0" w:type="dxa"/>
            <w:left w:w="108" w:type="dxa"/>
            <w:bottom w:w="0" w:type="dxa"/>
            <w:right w:w="108" w:type="dxa"/>
          </w:tblCellMar>
        </w:tblPrEx>
        <w:trPr>
          <w:trHeight w:val="309" w:hRule="atLeast"/>
        </w:trPr>
        <w:tc>
          <w:tcPr>
            <w:tcW w:w="194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19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总计</w:t>
            </w:r>
          </w:p>
        </w:tc>
        <w:tc>
          <w:tcPr>
            <w:tcW w:w="8051"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采购预算(财政性资金)</w:t>
            </w:r>
          </w:p>
        </w:tc>
        <w:tc>
          <w:tcPr>
            <w:tcW w:w="302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非财政性资金</w:t>
            </w:r>
          </w:p>
        </w:tc>
      </w:tr>
      <w:tr>
        <w:tblPrEx>
          <w:tblLayout w:type="fixed"/>
          <w:tblCellMar>
            <w:top w:w="0" w:type="dxa"/>
            <w:left w:w="108" w:type="dxa"/>
            <w:bottom w:w="0" w:type="dxa"/>
            <w:right w:w="108" w:type="dxa"/>
          </w:tblCellMar>
        </w:tblPrEx>
        <w:trPr>
          <w:trHeight w:val="309" w:hRule="atLeast"/>
        </w:trPr>
        <w:tc>
          <w:tcPr>
            <w:tcW w:w="194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19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80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232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w:t>
            </w:r>
          </w:p>
        </w:tc>
        <w:tc>
          <w:tcPr>
            <w:tcW w:w="270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w:t>
            </w:r>
          </w:p>
        </w:tc>
        <w:tc>
          <w:tcPr>
            <w:tcW w:w="22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其他资金</w:t>
            </w:r>
          </w:p>
        </w:tc>
        <w:tc>
          <w:tcPr>
            <w:tcW w:w="302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219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80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232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270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22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302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      计</w:t>
            </w:r>
          </w:p>
        </w:tc>
        <w:tc>
          <w:tcPr>
            <w:tcW w:w="2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货物</w:t>
            </w:r>
          </w:p>
        </w:tc>
        <w:tc>
          <w:tcPr>
            <w:tcW w:w="2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工程</w:t>
            </w:r>
          </w:p>
        </w:tc>
        <w:tc>
          <w:tcPr>
            <w:tcW w:w="2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94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服务</w:t>
            </w:r>
          </w:p>
        </w:tc>
        <w:tc>
          <w:tcPr>
            <w:tcW w:w="2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8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3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7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302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5213" w:type="dxa"/>
            <w:gridSpan w:val="7"/>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注：本表反映部门本年度纳入部门预算范围的政府采购预算及支出情况。本部门本年度无预算及支出情况，按要求以空表列示。</w:t>
            </w:r>
          </w:p>
        </w:tc>
      </w:tr>
      <w:tr>
        <w:tblPrEx>
          <w:tblLayout w:type="fixed"/>
          <w:tblCellMar>
            <w:top w:w="0" w:type="dxa"/>
            <w:left w:w="108" w:type="dxa"/>
            <w:bottom w:w="0" w:type="dxa"/>
            <w:right w:w="108" w:type="dxa"/>
          </w:tblCellMar>
        </w:tblPrEx>
        <w:trPr>
          <w:trHeight w:val="264" w:hRule="atLeast"/>
        </w:trPr>
        <w:tc>
          <w:tcPr>
            <w:tcW w:w="194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2194"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09"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2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70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1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0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264" w:hRule="atLeast"/>
        </w:trPr>
        <w:tc>
          <w:tcPr>
            <w:tcW w:w="194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194"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809"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23"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10 —</w:t>
            </w:r>
          </w:p>
        </w:tc>
        <w:tc>
          <w:tcPr>
            <w:tcW w:w="2702"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2217"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022"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bl>
    <w:p>
      <w:pPr>
        <w:widowControl/>
        <w:jc w:val="center"/>
        <w:rPr>
          <w:rFonts w:ascii="仿宋" w:hAnsi="仿宋" w:eastAsia="仿宋" w:cstheme="majorEastAsia"/>
          <w:b/>
          <w:bCs/>
          <w:color w:val="000000"/>
          <w:sz w:val="32"/>
          <w:szCs w:val="32"/>
          <w:shd w:val="clear" w:color="auto" w:fill="FFFFFF"/>
        </w:rPr>
        <w:sectPr>
          <w:pgSz w:w="16838" w:h="11906" w:orient="landscape"/>
          <w:pgMar w:top="567" w:right="678" w:bottom="567" w:left="567" w:header="851" w:footer="992" w:gutter="0"/>
          <w:cols w:space="425" w:num="1"/>
          <w:docGrid w:type="lines" w:linePitch="316" w:charSpace="0"/>
        </w:sectPr>
      </w:pPr>
    </w:p>
    <w:p>
      <w:pPr>
        <w:widowControl/>
        <w:spacing w:line="360" w:lineRule="auto"/>
        <w:jc w:val="center"/>
        <w:rPr>
          <w:rFonts w:ascii="仿宋" w:hAnsi="仿宋" w:eastAsia="仿宋" w:cs="宋体"/>
          <w:kern w:val="0"/>
          <w:sz w:val="24"/>
        </w:rPr>
      </w:pPr>
      <w:r>
        <w:rPr>
          <w:rFonts w:hint="eastAsia" w:ascii="仿宋" w:hAnsi="仿宋" w:eastAsia="仿宋" w:cstheme="majorEastAsia"/>
          <w:b/>
          <w:bCs/>
          <w:color w:val="000000"/>
          <w:sz w:val="32"/>
          <w:szCs w:val="32"/>
          <w:shd w:val="clear" w:color="auto" w:fill="FFFFFF"/>
        </w:rPr>
        <w:t xml:space="preserve">第三部分  </w:t>
      </w:r>
      <w:r>
        <w:rPr>
          <w:rFonts w:hint="eastAsia" w:ascii="仿宋" w:hAnsi="仿宋" w:eastAsia="仿宋" w:cstheme="majorEastAsia"/>
          <w:b/>
          <w:bCs/>
          <w:kern w:val="0"/>
          <w:sz w:val="32"/>
          <w:szCs w:val="32"/>
        </w:rPr>
        <w:t>2017年部门决算情况说明</w:t>
      </w:r>
    </w:p>
    <w:p>
      <w:pPr>
        <w:pStyle w:val="4"/>
        <w:widowControl/>
        <w:shd w:val="clear" w:color="auto" w:fill="FFFFFF"/>
        <w:adjustRightInd w:val="0"/>
        <w:snapToGrid w:val="0"/>
        <w:spacing w:beforeAutospacing="0" w:afterAutospacing="0" w:line="360" w:lineRule="auto"/>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 xml:space="preserve"> </w:t>
      </w:r>
    </w:p>
    <w:p>
      <w:pPr>
        <w:widowControl/>
        <w:numPr>
          <w:ilvl w:val="0"/>
          <w:numId w:val="3"/>
        </w:numPr>
        <w:spacing w:before="100" w:beforeAutospacing="1" w:after="100" w:afterAutospacing="1"/>
        <w:ind w:firstLine="640" w:firstLineChars="200"/>
        <w:jc w:val="left"/>
        <w:rPr>
          <w:rFonts w:ascii="仿宋" w:hAnsi="仿宋" w:eastAsia="仿宋" w:cs="新宋体"/>
          <w:kern w:val="0"/>
          <w:sz w:val="32"/>
          <w:szCs w:val="32"/>
        </w:rPr>
      </w:pPr>
      <w:r>
        <w:rPr>
          <w:rFonts w:hint="eastAsia" w:ascii="仿宋" w:hAnsi="仿宋" w:eastAsia="仿宋" w:cs="新宋体"/>
          <w:kern w:val="0"/>
          <w:sz w:val="32"/>
          <w:szCs w:val="32"/>
        </w:rPr>
        <w:t>收入支出决算总体情况说明</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ascii="仿宋" w:hAnsi="仿宋" w:eastAsia="仿宋" w:cs="仿宋_GB2312"/>
          <w:color w:val="000000"/>
          <w:kern w:val="2"/>
          <w:sz w:val="32"/>
          <w:szCs w:val="32"/>
          <w:shd w:val="clear" w:color="auto" w:fill="FFFFFF"/>
        </w:rPr>
        <w:t>1、2017年决算收入数</w:t>
      </w:r>
      <w:r>
        <w:rPr>
          <w:rFonts w:hint="eastAsia" w:ascii="仿宋" w:hAnsi="仿宋" w:eastAsia="仿宋" w:cs="仿宋_GB2312"/>
          <w:color w:val="000000"/>
          <w:kern w:val="2"/>
          <w:sz w:val="32"/>
          <w:szCs w:val="32"/>
          <w:shd w:val="clear" w:color="auto" w:fill="FFFFFF"/>
        </w:rPr>
        <w:t>1046.7142</w:t>
      </w:r>
      <w:r>
        <w:rPr>
          <w:rFonts w:ascii="仿宋" w:hAnsi="仿宋" w:eastAsia="仿宋" w:cs="仿宋_GB2312"/>
          <w:color w:val="000000"/>
          <w:kern w:val="2"/>
          <w:sz w:val="32"/>
          <w:szCs w:val="32"/>
          <w:shd w:val="clear" w:color="auto" w:fill="FFFFFF"/>
        </w:rPr>
        <w:t>万元，其中财政拨款数</w:t>
      </w:r>
      <w:r>
        <w:rPr>
          <w:rFonts w:hint="eastAsia" w:ascii="仿宋" w:hAnsi="仿宋" w:eastAsia="仿宋" w:cs="仿宋_GB2312"/>
          <w:color w:val="000000"/>
          <w:kern w:val="2"/>
          <w:sz w:val="32"/>
          <w:szCs w:val="32"/>
          <w:shd w:val="clear" w:color="auto" w:fill="FFFFFF"/>
        </w:rPr>
        <w:t>1046.7142</w:t>
      </w:r>
      <w:r>
        <w:rPr>
          <w:rFonts w:ascii="仿宋" w:hAnsi="仿宋" w:eastAsia="仿宋" w:cs="仿宋_GB2312"/>
          <w:color w:val="000000"/>
          <w:kern w:val="2"/>
          <w:sz w:val="32"/>
          <w:szCs w:val="32"/>
          <w:shd w:val="clear" w:color="auto" w:fill="FFFFFF"/>
        </w:rPr>
        <w:t>万元，占总收入的</w:t>
      </w:r>
      <w:r>
        <w:rPr>
          <w:rFonts w:hint="eastAsia" w:ascii="仿宋" w:hAnsi="仿宋" w:eastAsia="仿宋" w:cs="仿宋_GB2312"/>
          <w:color w:val="000000"/>
          <w:kern w:val="2"/>
          <w:sz w:val="32"/>
          <w:szCs w:val="32"/>
          <w:shd w:val="clear" w:color="auto" w:fill="FFFFFF"/>
        </w:rPr>
        <w:t>100％</w:t>
      </w:r>
      <w:r>
        <w:rPr>
          <w:rFonts w:ascii="仿宋" w:hAnsi="仿宋" w:eastAsia="仿宋" w:cs="仿宋_GB2312"/>
          <w:color w:val="000000"/>
          <w:kern w:val="2"/>
          <w:sz w:val="32"/>
          <w:szCs w:val="32"/>
          <w:shd w:val="clear" w:color="auto" w:fill="FFFFFF"/>
        </w:rPr>
        <w:t>。</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ascii="Calibri" w:hAnsi="Calibri" w:eastAsia="仿宋" w:cs="Calibri"/>
          <w:color w:val="000000"/>
          <w:kern w:val="2"/>
          <w:sz w:val="32"/>
          <w:szCs w:val="32"/>
          <w:shd w:val="clear" w:color="auto" w:fill="FFFFFF"/>
        </w:rPr>
        <w:t> </w:t>
      </w:r>
      <w:r>
        <w:rPr>
          <w:rFonts w:ascii="仿宋" w:hAnsi="仿宋" w:eastAsia="仿宋" w:cs="仿宋_GB2312"/>
          <w:color w:val="000000"/>
          <w:kern w:val="2"/>
          <w:sz w:val="32"/>
          <w:szCs w:val="32"/>
          <w:shd w:val="clear" w:color="auto" w:fill="FFFFFF"/>
        </w:rPr>
        <w:t>2017年决算支出数</w:t>
      </w:r>
      <w:r>
        <w:rPr>
          <w:rFonts w:hint="eastAsia" w:ascii="仿宋" w:hAnsi="仿宋" w:eastAsia="仿宋" w:cs="仿宋_GB2312"/>
          <w:color w:val="000000"/>
          <w:kern w:val="2"/>
          <w:sz w:val="32"/>
          <w:szCs w:val="32"/>
          <w:shd w:val="clear" w:color="auto" w:fill="FFFFFF"/>
        </w:rPr>
        <w:t>1042.091</w:t>
      </w:r>
      <w:r>
        <w:rPr>
          <w:rFonts w:ascii="仿宋" w:hAnsi="仿宋" w:eastAsia="仿宋" w:cs="仿宋_GB2312"/>
          <w:color w:val="000000"/>
          <w:kern w:val="2"/>
          <w:sz w:val="32"/>
          <w:szCs w:val="32"/>
          <w:shd w:val="clear" w:color="auto" w:fill="FFFFFF"/>
        </w:rPr>
        <w:t>万元，其中基本支出</w:t>
      </w:r>
      <w:r>
        <w:rPr>
          <w:rFonts w:hint="eastAsia" w:ascii="仿宋" w:hAnsi="仿宋" w:eastAsia="仿宋" w:cs="仿宋_GB2312"/>
          <w:color w:val="000000"/>
          <w:kern w:val="2"/>
          <w:sz w:val="32"/>
          <w:szCs w:val="32"/>
          <w:shd w:val="clear" w:color="auto" w:fill="FFFFFF"/>
        </w:rPr>
        <w:t>339.49</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32.58％</w:t>
      </w:r>
      <w:r>
        <w:rPr>
          <w:rFonts w:ascii="仿宋" w:hAnsi="仿宋" w:eastAsia="仿宋" w:cs="仿宋_GB2312"/>
          <w:color w:val="000000"/>
          <w:kern w:val="2"/>
          <w:sz w:val="32"/>
          <w:szCs w:val="32"/>
          <w:shd w:val="clear" w:color="auto" w:fill="FFFFFF"/>
        </w:rPr>
        <w:t>，项目支出数为</w:t>
      </w:r>
      <w:r>
        <w:rPr>
          <w:rFonts w:hint="eastAsia" w:ascii="仿宋" w:hAnsi="仿宋" w:eastAsia="仿宋" w:cs="仿宋_GB2312"/>
          <w:color w:val="000000"/>
          <w:kern w:val="2"/>
          <w:sz w:val="32"/>
          <w:szCs w:val="32"/>
          <w:shd w:val="clear" w:color="auto" w:fill="FFFFFF"/>
        </w:rPr>
        <w:t>702.6</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67.42％</w:t>
      </w:r>
      <w:r>
        <w:rPr>
          <w:rFonts w:ascii="仿宋" w:hAnsi="仿宋" w:eastAsia="仿宋" w:cs="仿宋_GB2312"/>
          <w:color w:val="000000"/>
          <w:kern w:val="2"/>
          <w:sz w:val="32"/>
          <w:szCs w:val="32"/>
          <w:shd w:val="clear" w:color="auto" w:fill="FFFFFF"/>
        </w:rPr>
        <w:t>。</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ascii="仿宋" w:hAnsi="仿宋" w:eastAsia="仿宋" w:cs="仿宋_GB2312"/>
          <w:color w:val="000000"/>
          <w:kern w:val="2"/>
          <w:sz w:val="32"/>
          <w:szCs w:val="32"/>
          <w:shd w:val="clear" w:color="auto" w:fill="FFFFFF"/>
        </w:rPr>
        <w:t>2、2017年决算收入总数</w:t>
      </w:r>
      <w:r>
        <w:rPr>
          <w:rFonts w:hint="eastAsia" w:ascii="仿宋" w:hAnsi="仿宋" w:eastAsia="仿宋" w:cs="仿宋_GB2312"/>
          <w:color w:val="000000"/>
          <w:kern w:val="2"/>
          <w:sz w:val="32"/>
          <w:szCs w:val="32"/>
          <w:shd w:val="clear" w:color="auto" w:fill="FFFFFF"/>
        </w:rPr>
        <w:t>1046.7142</w:t>
      </w:r>
      <w:r>
        <w:rPr>
          <w:rFonts w:ascii="仿宋" w:hAnsi="仿宋" w:eastAsia="仿宋" w:cs="仿宋_GB2312"/>
          <w:color w:val="000000"/>
          <w:kern w:val="2"/>
          <w:sz w:val="32"/>
          <w:szCs w:val="32"/>
          <w:shd w:val="clear" w:color="auto" w:fill="FFFFFF"/>
        </w:rPr>
        <w:t>万元，较上年</w:t>
      </w:r>
      <w:r>
        <w:rPr>
          <w:rFonts w:hint="eastAsia" w:ascii="仿宋" w:hAnsi="仿宋" w:eastAsia="仿宋" w:cs="仿宋_GB2312"/>
          <w:color w:val="000000"/>
          <w:kern w:val="2"/>
          <w:sz w:val="32"/>
          <w:szCs w:val="32"/>
          <w:shd w:val="clear" w:color="auto" w:fill="FFFFFF"/>
        </w:rPr>
        <w:t>647.6</w:t>
      </w:r>
      <w:r>
        <w:rPr>
          <w:rFonts w:ascii="仿宋" w:hAnsi="仿宋" w:eastAsia="仿宋" w:cs="仿宋_GB2312"/>
          <w:color w:val="000000"/>
          <w:kern w:val="2"/>
          <w:sz w:val="32"/>
          <w:szCs w:val="32"/>
          <w:shd w:val="clear" w:color="auto" w:fill="FFFFFF"/>
        </w:rPr>
        <w:t>万元</w:t>
      </w:r>
      <w:r>
        <w:rPr>
          <w:rFonts w:hint="eastAsia" w:ascii="仿宋" w:hAnsi="仿宋" w:eastAsia="仿宋" w:cs="仿宋_GB2312"/>
          <w:color w:val="000000"/>
          <w:kern w:val="2"/>
          <w:sz w:val="32"/>
          <w:szCs w:val="32"/>
          <w:shd w:val="clear" w:color="auto" w:fill="FFFFFF"/>
        </w:rPr>
        <w:t>增加61.6％</w:t>
      </w:r>
      <w:r>
        <w:rPr>
          <w:rFonts w:ascii="仿宋" w:hAnsi="仿宋" w:eastAsia="仿宋" w:cs="仿宋_GB2312"/>
          <w:color w:val="000000"/>
          <w:kern w:val="2"/>
          <w:sz w:val="32"/>
          <w:szCs w:val="32"/>
          <w:shd w:val="clear" w:color="auto" w:fill="FFFFFF"/>
        </w:rPr>
        <w:t>，2017年决算支出总数</w:t>
      </w:r>
      <w:r>
        <w:rPr>
          <w:rFonts w:hint="eastAsia" w:ascii="仿宋" w:hAnsi="仿宋" w:eastAsia="仿宋" w:cs="仿宋_GB2312"/>
          <w:color w:val="000000"/>
          <w:kern w:val="2"/>
          <w:sz w:val="32"/>
          <w:szCs w:val="32"/>
          <w:shd w:val="clear" w:color="auto" w:fill="FFFFFF"/>
        </w:rPr>
        <w:t>1042.714</w:t>
      </w:r>
      <w:r>
        <w:rPr>
          <w:rFonts w:ascii="仿宋" w:hAnsi="仿宋" w:eastAsia="仿宋" w:cs="仿宋_GB2312"/>
          <w:color w:val="000000"/>
          <w:kern w:val="2"/>
          <w:sz w:val="32"/>
          <w:szCs w:val="32"/>
          <w:shd w:val="clear" w:color="auto" w:fill="FFFFFF"/>
        </w:rPr>
        <w:t>万元，较上年</w:t>
      </w:r>
      <w:r>
        <w:rPr>
          <w:rFonts w:hint="eastAsia" w:ascii="仿宋" w:hAnsi="仿宋" w:eastAsia="仿宋" w:cs="仿宋_GB2312"/>
          <w:color w:val="000000"/>
          <w:kern w:val="2"/>
          <w:sz w:val="32"/>
          <w:szCs w:val="32"/>
          <w:shd w:val="clear" w:color="auto" w:fill="FFFFFF"/>
        </w:rPr>
        <w:t>570.26</w:t>
      </w:r>
      <w:r>
        <w:rPr>
          <w:rFonts w:ascii="仿宋" w:hAnsi="仿宋" w:eastAsia="仿宋" w:cs="仿宋_GB2312"/>
          <w:color w:val="000000"/>
          <w:kern w:val="2"/>
          <w:sz w:val="32"/>
          <w:szCs w:val="32"/>
          <w:shd w:val="clear" w:color="auto" w:fill="FFFFFF"/>
        </w:rPr>
        <w:t>万元</w:t>
      </w:r>
      <w:r>
        <w:rPr>
          <w:rFonts w:hint="eastAsia" w:ascii="仿宋" w:hAnsi="仿宋" w:eastAsia="仿宋" w:cs="仿宋_GB2312"/>
          <w:color w:val="000000"/>
          <w:kern w:val="2"/>
          <w:sz w:val="32"/>
          <w:szCs w:val="32"/>
          <w:shd w:val="clear" w:color="auto" w:fill="FFFFFF"/>
        </w:rPr>
        <w:t>增加61.01</w:t>
      </w:r>
      <w:r>
        <w:rPr>
          <w:rFonts w:ascii="仿宋" w:hAnsi="仿宋" w:eastAsia="仿宋" w:cs="仿宋_GB2312"/>
          <w:color w:val="000000"/>
          <w:kern w:val="2"/>
          <w:sz w:val="32"/>
          <w:szCs w:val="32"/>
          <w:shd w:val="clear" w:color="auto" w:fill="FFFFFF"/>
        </w:rPr>
        <w:t>％</w:t>
      </w:r>
      <w:r>
        <w:rPr>
          <w:rFonts w:hint="eastAsia" w:ascii="仿宋" w:hAnsi="仿宋" w:eastAsia="仿宋" w:cs="仿宋_GB2312"/>
          <w:color w:val="000000"/>
          <w:kern w:val="2"/>
          <w:sz w:val="32"/>
          <w:szCs w:val="32"/>
          <w:shd w:val="clear" w:color="auto" w:fill="FFFFFF"/>
        </w:rPr>
        <w:t>,主要是人员经费和项目经费增加</w:t>
      </w:r>
      <w:r>
        <w:rPr>
          <w:rFonts w:ascii="仿宋" w:hAnsi="仿宋" w:eastAsia="仿宋" w:cs="仿宋_GB2312"/>
          <w:color w:val="000000"/>
          <w:kern w:val="2"/>
          <w:sz w:val="32"/>
          <w:szCs w:val="32"/>
          <w:shd w:val="clear" w:color="auto" w:fill="FFFFFF"/>
        </w:rPr>
        <w:t>。</w:t>
      </w:r>
    </w:p>
    <w:p>
      <w:pPr>
        <w:widowControl/>
        <w:numPr>
          <w:ilvl w:val="0"/>
          <w:numId w:val="3"/>
        </w:numPr>
        <w:adjustRightInd w:val="0"/>
        <w:snapToGrid w:val="0"/>
        <w:spacing w:before="100" w:beforeAutospacing="1" w:after="100" w:afterAutospacing="1"/>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收入决算情况说明</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rPr>
      </w:pPr>
      <w:r>
        <w:rPr>
          <w:rFonts w:ascii="仿宋" w:hAnsi="仿宋" w:eastAsia="仿宋" w:cs="仿宋_GB2312"/>
          <w:color w:val="000000"/>
          <w:sz w:val="32"/>
          <w:szCs w:val="32"/>
        </w:rPr>
        <w:t>2017年财政拨款决算</w:t>
      </w:r>
      <w:r>
        <w:rPr>
          <w:rFonts w:hint="eastAsia" w:ascii="仿宋" w:hAnsi="仿宋" w:eastAsia="仿宋" w:cs="仿宋_GB2312"/>
          <w:color w:val="000000"/>
          <w:sz w:val="32"/>
          <w:szCs w:val="32"/>
        </w:rPr>
        <w:t>收入</w:t>
      </w:r>
      <w:r>
        <w:rPr>
          <w:rFonts w:ascii="仿宋" w:hAnsi="仿宋" w:eastAsia="仿宋" w:cs="仿宋_GB2312"/>
          <w:color w:val="000000"/>
          <w:sz w:val="32"/>
          <w:szCs w:val="32"/>
        </w:rPr>
        <w:t>数</w:t>
      </w:r>
      <w:r>
        <w:rPr>
          <w:rFonts w:hint="eastAsia" w:ascii="仿宋" w:hAnsi="仿宋" w:eastAsia="仿宋" w:cs="仿宋_GB2312"/>
          <w:color w:val="000000"/>
          <w:sz w:val="32"/>
          <w:szCs w:val="32"/>
        </w:rPr>
        <w:t>1046.7142</w:t>
      </w:r>
      <w:r>
        <w:rPr>
          <w:rFonts w:ascii="仿宋" w:hAnsi="仿宋" w:eastAsia="仿宋" w:cs="仿宋_GB2312"/>
          <w:color w:val="000000"/>
          <w:sz w:val="32"/>
          <w:szCs w:val="32"/>
        </w:rPr>
        <w:t>万元，较预算数</w:t>
      </w:r>
      <w:r>
        <w:rPr>
          <w:rFonts w:hint="eastAsia" w:ascii="仿宋" w:hAnsi="仿宋" w:eastAsia="仿宋" w:cs="仿宋_GB2312"/>
          <w:color w:val="000000"/>
          <w:sz w:val="32"/>
          <w:szCs w:val="32"/>
        </w:rPr>
        <w:t>960.7385</w:t>
      </w:r>
      <w:r>
        <w:rPr>
          <w:rFonts w:ascii="仿宋" w:hAnsi="仿宋" w:eastAsia="仿宋" w:cs="仿宋_GB2312"/>
          <w:color w:val="000000"/>
          <w:sz w:val="32"/>
          <w:szCs w:val="32"/>
        </w:rPr>
        <w:t>万元增加</w:t>
      </w:r>
      <w:r>
        <w:rPr>
          <w:rFonts w:hint="eastAsia" w:ascii="仿宋" w:hAnsi="仿宋" w:eastAsia="仿宋" w:cs="仿宋_GB2312"/>
          <w:color w:val="000000"/>
          <w:sz w:val="32"/>
          <w:szCs w:val="32"/>
        </w:rPr>
        <w:t>8.5%，主要是人员经费增加</w:t>
      </w:r>
      <w:r>
        <w:rPr>
          <w:rFonts w:ascii="仿宋" w:hAnsi="仿宋" w:eastAsia="仿宋" w:cs="仿宋_GB2312"/>
          <w:color w:val="000000"/>
          <w:sz w:val="32"/>
          <w:szCs w:val="32"/>
        </w:rPr>
        <w:t>。</w:t>
      </w:r>
    </w:p>
    <w:p>
      <w:pPr>
        <w:pStyle w:val="4"/>
        <w:widowControl/>
        <w:shd w:val="clear" w:color="auto" w:fill="F8F8F8"/>
        <w:spacing w:before="100" w:after="100"/>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2017年决算收入总数</w:t>
      </w:r>
      <w:r>
        <w:rPr>
          <w:rFonts w:hint="eastAsia" w:ascii="仿宋" w:hAnsi="仿宋" w:eastAsia="仿宋" w:cs="仿宋_GB2312"/>
          <w:color w:val="000000"/>
          <w:kern w:val="2"/>
          <w:sz w:val="32"/>
          <w:szCs w:val="32"/>
        </w:rPr>
        <w:t>1046.7142</w:t>
      </w:r>
      <w:r>
        <w:rPr>
          <w:rFonts w:ascii="仿宋" w:hAnsi="仿宋" w:eastAsia="仿宋" w:cs="仿宋_GB2312"/>
          <w:color w:val="000000"/>
          <w:kern w:val="2"/>
          <w:sz w:val="32"/>
          <w:szCs w:val="32"/>
        </w:rPr>
        <w:t>万元，较上年</w:t>
      </w:r>
      <w:r>
        <w:rPr>
          <w:rFonts w:hint="eastAsia" w:ascii="仿宋" w:hAnsi="仿宋" w:eastAsia="仿宋" w:cs="仿宋_GB2312"/>
          <w:color w:val="000000"/>
          <w:kern w:val="2"/>
          <w:sz w:val="32"/>
          <w:szCs w:val="32"/>
        </w:rPr>
        <w:t>647.6</w:t>
      </w:r>
      <w:r>
        <w:rPr>
          <w:rFonts w:ascii="仿宋" w:hAnsi="仿宋" w:eastAsia="仿宋" w:cs="仿宋_GB2312"/>
          <w:color w:val="000000"/>
          <w:kern w:val="2"/>
          <w:sz w:val="32"/>
          <w:szCs w:val="32"/>
        </w:rPr>
        <w:t>万元</w:t>
      </w:r>
      <w:r>
        <w:rPr>
          <w:rFonts w:hint="eastAsia" w:ascii="仿宋" w:hAnsi="仿宋" w:eastAsia="仿宋" w:cs="仿宋_GB2312"/>
          <w:color w:val="000000"/>
          <w:kern w:val="2"/>
          <w:sz w:val="32"/>
          <w:szCs w:val="32"/>
        </w:rPr>
        <w:t>增加61.6％，主要是人员经费和项目经费增加。</w:t>
      </w:r>
      <w:r>
        <w:rPr>
          <w:rFonts w:ascii="仿宋" w:hAnsi="仿宋" w:eastAsia="仿宋" w:cs="仿宋_GB2312"/>
          <w:color w:val="000000"/>
          <w:kern w:val="2"/>
          <w:sz w:val="32"/>
          <w:szCs w:val="32"/>
        </w:rPr>
        <w:t>。</w:t>
      </w:r>
    </w:p>
    <w:p>
      <w:pPr>
        <w:widowControl/>
        <w:numPr>
          <w:ilvl w:val="0"/>
          <w:numId w:val="3"/>
        </w:numPr>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支出决算情况说明</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ascii="Calibri" w:hAnsi="Calibri" w:eastAsia="仿宋" w:cs="Calibri"/>
          <w:color w:val="000000"/>
          <w:sz w:val="32"/>
          <w:szCs w:val="32"/>
          <w:shd w:val="clear" w:color="auto" w:fill="FFFFFF"/>
        </w:rPr>
        <w:t> </w:t>
      </w:r>
      <w:r>
        <w:rPr>
          <w:rFonts w:ascii="仿宋" w:hAnsi="仿宋" w:eastAsia="仿宋" w:cs="仿宋_GB2312"/>
          <w:color w:val="000000"/>
          <w:sz w:val="32"/>
          <w:szCs w:val="32"/>
          <w:shd w:val="clear" w:color="auto" w:fill="FFFFFF"/>
        </w:rPr>
        <w:t>2017年决算支出数</w:t>
      </w:r>
      <w:r>
        <w:rPr>
          <w:rFonts w:hint="eastAsia" w:ascii="仿宋" w:hAnsi="仿宋" w:eastAsia="仿宋" w:cs="仿宋_GB2312"/>
          <w:color w:val="000000"/>
          <w:sz w:val="32"/>
          <w:szCs w:val="32"/>
          <w:shd w:val="clear" w:color="auto" w:fill="FFFFFF"/>
        </w:rPr>
        <w:t>1042.091</w:t>
      </w:r>
      <w:r>
        <w:rPr>
          <w:rFonts w:ascii="仿宋" w:hAnsi="仿宋" w:eastAsia="仿宋" w:cs="仿宋_GB2312"/>
          <w:color w:val="000000"/>
          <w:sz w:val="32"/>
          <w:szCs w:val="32"/>
          <w:shd w:val="clear" w:color="auto" w:fill="FFFFFF"/>
        </w:rPr>
        <w:t>万元，较预算数</w:t>
      </w:r>
      <w:r>
        <w:rPr>
          <w:rFonts w:hint="eastAsia" w:ascii="仿宋" w:hAnsi="仿宋" w:eastAsia="仿宋" w:cs="仿宋_GB2312"/>
          <w:color w:val="000000"/>
          <w:sz w:val="32"/>
          <w:szCs w:val="32"/>
          <w:shd w:val="clear" w:color="auto" w:fill="FFFFFF"/>
        </w:rPr>
        <w:t>960.7385</w:t>
      </w:r>
      <w:r>
        <w:rPr>
          <w:rFonts w:ascii="仿宋" w:hAnsi="仿宋" w:eastAsia="仿宋" w:cs="仿宋_GB2312"/>
          <w:color w:val="000000"/>
          <w:sz w:val="32"/>
          <w:szCs w:val="32"/>
          <w:shd w:val="clear" w:color="auto" w:fill="FFFFFF"/>
        </w:rPr>
        <w:t>万元增加</w:t>
      </w:r>
      <w:r>
        <w:rPr>
          <w:rFonts w:hint="eastAsia" w:ascii="仿宋" w:hAnsi="仿宋" w:eastAsia="仿宋" w:cs="仿宋_GB2312"/>
          <w:color w:val="000000"/>
          <w:sz w:val="32"/>
          <w:szCs w:val="32"/>
          <w:shd w:val="clear" w:color="auto" w:fill="FFFFFF"/>
        </w:rPr>
        <w:t>8.5%，主要是人员经费增加</w:t>
      </w:r>
      <w:r>
        <w:rPr>
          <w:rFonts w:ascii="仿宋" w:hAnsi="仿宋" w:eastAsia="仿宋" w:cs="仿宋_GB2312"/>
          <w:color w:val="000000"/>
          <w:sz w:val="32"/>
          <w:szCs w:val="32"/>
          <w:shd w:val="clear" w:color="auto" w:fill="FFFFFF"/>
        </w:rPr>
        <w:t>。其中基本支出</w:t>
      </w:r>
      <w:r>
        <w:rPr>
          <w:rFonts w:hint="eastAsia" w:ascii="仿宋" w:hAnsi="仿宋" w:eastAsia="仿宋" w:cs="仿宋_GB2312"/>
          <w:color w:val="000000"/>
          <w:sz w:val="32"/>
          <w:szCs w:val="32"/>
          <w:shd w:val="clear" w:color="auto" w:fill="FFFFFF"/>
        </w:rPr>
        <w:t>339.49</w:t>
      </w:r>
      <w:r>
        <w:rPr>
          <w:rFonts w:ascii="仿宋" w:hAnsi="仿宋" w:eastAsia="仿宋" w:cs="仿宋_GB2312"/>
          <w:color w:val="000000"/>
          <w:sz w:val="32"/>
          <w:szCs w:val="32"/>
          <w:shd w:val="clear" w:color="auto" w:fill="FFFFFF"/>
        </w:rPr>
        <w:t>万元，占总支出数的</w:t>
      </w:r>
      <w:r>
        <w:rPr>
          <w:rFonts w:hint="eastAsia" w:ascii="仿宋" w:hAnsi="仿宋" w:eastAsia="仿宋" w:cs="仿宋_GB2312"/>
          <w:color w:val="000000"/>
          <w:sz w:val="32"/>
          <w:szCs w:val="32"/>
          <w:shd w:val="clear" w:color="auto" w:fill="FFFFFF"/>
        </w:rPr>
        <w:t>32.58％</w:t>
      </w:r>
      <w:r>
        <w:rPr>
          <w:rFonts w:ascii="仿宋" w:hAnsi="仿宋" w:eastAsia="仿宋" w:cs="仿宋_GB2312"/>
          <w:color w:val="000000"/>
          <w:sz w:val="32"/>
          <w:szCs w:val="32"/>
          <w:shd w:val="clear" w:color="auto" w:fill="FFFFFF"/>
        </w:rPr>
        <w:t>，项目支出数为</w:t>
      </w:r>
      <w:r>
        <w:rPr>
          <w:rFonts w:hint="eastAsia" w:ascii="仿宋" w:hAnsi="仿宋" w:eastAsia="仿宋" w:cs="仿宋_GB2312"/>
          <w:color w:val="000000"/>
          <w:sz w:val="32"/>
          <w:szCs w:val="32"/>
          <w:shd w:val="clear" w:color="auto" w:fill="FFFFFF"/>
        </w:rPr>
        <w:t>702.6</w:t>
      </w:r>
      <w:r>
        <w:rPr>
          <w:rFonts w:ascii="仿宋" w:hAnsi="仿宋" w:eastAsia="仿宋" w:cs="仿宋_GB2312"/>
          <w:color w:val="000000"/>
          <w:sz w:val="32"/>
          <w:szCs w:val="32"/>
          <w:shd w:val="clear" w:color="auto" w:fill="FFFFFF"/>
        </w:rPr>
        <w:t>万元，占总支出数的</w:t>
      </w:r>
      <w:r>
        <w:rPr>
          <w:rFonts w:hint="eastAsia" w:ascii="仿宋" w:hAnsi="仿宋" w:eastAsia="仿宋" w:cs="仿宋_GB2312"/>
          <w:color w:val="000000"/>
          <w:sz w:val="32"/>
          <w:szCs w:val="32"/>
          <w:shd w:val="clear" w:color="auto" w:fill="FFFFFF"/>
        </w:rPr>
        <w:t>67.42％</w:t>
      </w:r>
      <w:r>
        <w:rPr>
          <w:rFonts w:ascii="仿宋" w:hAnsi="仿宋" w:eastAsia="仿宋" w:cs="仿宋_GB2312"/>
          <w:color w:val="000000"/>
          <w:sz w:val="32"/>
          <w:szCs w:val="32"/>
          <w:shd w:val="clear" w:color="auto" w:fill="FFFFFF"/>
        </w:rPr>
        <w:t>。</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ascii="仿宋" w:hAnsi="仿宋" w:eastAsia="仿宋" w:cs="仿宋_GB2312"/>
          <w:color w:val="000000"/>
          <w:sz w:val="32"/>
          <w:szCs w:val="32"/>
          <w:shd w:val="clear" w:color="auto" w:fill="FFFFFF"/>
        </w:rPr>
        <w:t>2017年决算支出总数</w:t>
      </w:r>
      <w:r>
        <w:rPr>
          <w:rFonts w:hint="eastAsia" w:ascii="仿宋" w:hAnsi="仿宋" w:eastAsia="仿宋" w:cs="仿宋_GB2312"/>
          <w:color w:val="000000"/>
          <w:sz w:val="32"/>
          <w:szCs w:val="32"/>
          <w:shd w:val="clear" w:color="auto" w:fill="FFFFFF"/>
        </w:rPr>
        <w:t>1042.714</w:t>
      </w:r>
      <w:r>
        <w:rPr>
          <w:rFonts w:ascii="仿宋" w:hAnsi="仿宋" w:eastAsia="仿宋" w:cs="仿宋_GB2312"/>
          <w:color w:val="000000"/>
          <w:sz w:val="32"/>
          <w:szCs w:val="32"/>
          <w:shd w:val="clear" w:color="auto" w:fill="FFFFFF"/>
        </w:rPr>
        <w:t>万元，较上年</w:t>
      </w:r>
      <w:r>
        <w:rPr>
          <w:rFonts w:hint="eastAsia" w:ascii="仿宋" w:hAnsi="仿宋" w:eastAsia="仿宋" w:cs="仿宋_GB2312"/>
          <w:color w:val="000000"/>
          <w:sz w:val="32"/>
          <w:szCs w:val="32"/>
          <w:shd w:val="clear" w:color="auto" w:fill="FFFFFF"/>
        </w:rPr>
        <w:t>570.26</w:t>
      </w:r>
      <w:r>
        <w:rPr>
          <w:rFonts w:ascii="仿宋" w:hAnsi="仿宋" w:eastAsia="仿宋" w:cs="仿宋_GB2312"/>
          <w:color w:val="000000"/>
          <w:sz w:val="32"/>
          <w:szCs w:val="32"/>
          <w:shd w:val="clear" w:color="auto" w:fill="FFFFFF"/>
        </w:rPr>
        <w:t>万元</w:t>
      </w:r>
      <w:r>
        <w:rPr>
          <w:rFonts w:hint="eastAsia" w:ascii="仿宋" w:hAnsi="仿宋" w:eastAsia="仿宋" w:cs="仿宋_GB2312"/>
          <w:color w:val="000000"/>
          <w:sz w:val="32"/>
          <w:szCs w:val="32"/>
          <w:shd w:val="clear" w:color="auto" w:fill="FFFFFF"/>
        </w:rPr>
        <w:t>增加61.01</w:t>
      </w:r>
      <w:r>
        <w:rPr>
          <w:rFonts w:ascii="仿宋" w:hAnsi="仿宋" w:eastAsia="仿宋" w:cs="仿宋_GB2312"/>
          <w:color w:val="000000"/>
          <w:sz w:val="32"/>
          <w:szCs w:val="32"/>
          <w:shd w:val="clear" w:color="auto" w:fill="FFFFFF"/>
        </w:rPr>
        <w:t>％</w:t>
      </w:r>
      <w:r>
        <w:rPr>
          <w:rFonts w:hint="eastAsia" w:ascii="仿宋" w:hAnsi="仿宋" w:eastAsia="仿宋" w:cs="仿宋_GB2312"/>
          <w:color w:val="000000"/>
          <w:sz w:val="32"/>
          <w:szCs w:val="32"/>
          <w:shd w:val="clear" w:color="auto" w:fill="FFFFFF"/>
        </w:rPr>
        <w:t>，主要是人员经费和项目经费增加。</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2017年度总支出决算为1042.091万元，支出决算按照功能分类情况：一般公共服务支出452.49万元，公共安全支出20万元，教育支出0.77万元，社会保障和就业支出15.4万元，医疗卫生和计划生育支出10.47万元，节能环保支出92.03万元，城乡社区支出58.06万元，农林水支出376.38万元，资源勘探信息等支出16.5万元。按照支出性质情况：基本支出339.49万元，项目支出702.6万元。</w:t>
      </w:r>
    </w:p>
    <w:p>
      <w:pPr>
        <w:widowControl/>
        <w:numPr>
          <w:ilvl w:val="0"/>
          <w:numId w:val="3"/>
        </w:numPr>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财政拨款收入支出总体情况说明</w:t>
      </w:r>
    </w:p>
    <w:p>
      <w:pPr>
        <w:pStyle w:val="12"/>
        <w:widowControl/>
        <w:numPr>
          <w:ilvl w:val="0"/>
          <w:numId w:val="4"/>
        </w:numPr>
        <w:adjustRightInd w:val="0"/>
        <w:snapToGrid w:val="0"/>
        <w:spacing w:before="100" w:beforeAutospacing="1" w:after="100" w:afterAutospacing="1"/>
        <w:ind w:left="0"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收入支出预算安排情况</w:t>
      </w:r>
    </w:p>
    <w:p>
      <w:pPr>
        <w:pStyle w:val="12"/>
        <w:widowControl/>
        <w:adjustRightInd w:val="0"/>
        <w:snapToGrid w:val="0"/>
        <w:spacing w:before="100" w:beforeAutospacing="1" w:after="100" w:afterAutospacing="1"/>
        <w:ind w:firstLine="64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2017年度财政拨款收入预算安排为960.7385万元，财政拨款预算支出960.7385万元，其中：基本支出273.51万元，项目支出687.22万元。2017年度财政拨款预算安排支出增加了81万元，增幅为8.5%，主要是人员经费和项目经费增加。</w:t>
      </w:r>
    </w:p>
    <w:p>
      <w:pPr>
        <w:widowControl/>
        <w:numPr>
          <w:ilvl w:val="0"/>
          <w:numId w:val="5"/>
        </w:numPr>
        <w:adjustRightInd w:val="0"/>
        <w:snapToGrid w:val="0"/>
        <w:spacing w:before="100" w:beforeAutospacing="1" w:after="100" w:afterAutospacing="1"/>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收入支出预算执行情况</w:t>
      </w:r>
    </w:p>
    <w:p>
      <w:pPr>
        <w:pStyle w:val="4"/>
        <w:widowControl/>
        <w:numPr>
          <w:ilvl w:val="0"/>
          <w:numId w:val="6"/>
        </w:numPr>
        <w:shd w:val="clear" w:color="auto" w:fill="F8F8F8"/>
        <w:spacing w:before="100" w:after="100"/>
        <w:ind w:left="0" w:firstLine="640" w:firstLineChars="200"/>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收入支出与预算的对比分析</w:t>
      </w:r>
    </w:p>
    <w:p>
      <w:pPr>
        <w:pStyle w:val="12"/>
        <w:widowControl/>
        <w:adjustRightInd w:val="0"/>
        <w:snapToGrid w:val="0"/>
        <w:spacing w:before="100" w:beforeAutospacing="1" w:after="100" w:afterAutospacing="1"/>
        <w:ind w:firstLine="64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2017年度财政拨款收入决算安排为1046.7142万元，年初预算财政拨款收入为960.74万元，增加了81万元，增幅为8.5%。</w:t>
      </w:r>
      <w:r>
        <w:rPr>
          <w:rFonts w:ascii="仿宋" w:hAnsi="仿宋" w:eastAsia="仿宋" w:cs="仿宋_GB2312"/>
          <w:color w:val="000000"/>
          <w:sz w:val="32"/>
          <w:szCs w:val="32"/>
          <w:shd w:val="clear" w:color="auto" w:fill="FFFFFF"/>
        </w:rPr>
        <w:t>2017年</w:t>
      </w:r>
      <w:r>
        <w:rPr>
          <w:rFonts w:hint="eastAsia" w:ascii="仿宋" w:hAnsi="仿宋" w:eastAsia="仿宋" w:cs="仿宋_GB2312"/>
          <w:color w:val="000000"/>
          <w:sz w:val="32"/>
          <w:szCs w:val="32"/>
          <w:shd w:val="clear" w:color="auto" w:fill="FFFFFF"/>
        </w:rPr>
        <w:t>财政拨款收入决算</w:t>
      </w:r>
      <w:r>
        <w:rPr>
          <w:rFonts w:ascii="仿宋" w:hAnsi="仿宋" w:eastAsia="仿宋" w:cs="仿宋_GB2312"/>
          <w:color w:val="000000"/>
          <w:sz w:val="32"/>
          <w:szCs w:val="32"/>
          <w:shd w:val="clear" w:color="auto" w:fill="FFFFFF"/>
        </w:rPr>
        <w:t>总数</w:t>
      </w:r>
      <w:r>
        <w:rPr>
          <w:rFonts w:hint="eastAsia" w:ascii="仿宋" w:hAnsi="仿宋" w:eastAsia="仿宋" w:cs="仿宋_GB2312"/>
          <w:color w:val="000000"/>
          <w:sz w:val="32"/>
          <w:szCs w:val="32"/>
          <w:shd w:val="clear" w:color="auto" w:fill="FFFFFF"/>
        </w:rPr>
        <w:t>1046.7142</w:t>
      </w:r>
      <w:r>
        <w:rPr>
          <w:rFonts w:ascii="仿宋" w:hAnsi="仿宋" w:eastAsia="仿宋" w:cs="仿宋_GB2312"/>
          <w:color w:val="000000"/>
          <w:sz w:val="32"/>
          <w:szCs w:val="32"/>
          <w:shd w:val="clear" w:color="auto" w:fill="FFFFFF"/>
        </w:rPr>
        <w:t>万元，较上年</w:t>
      </w:r>
      <w:r>
        <w:rPr>
          <w:rFonts w:hint="eastAsia" w:ascii="仿宋" w:hAnsi="仿宋" w:eastAsia="仿宋" w:cs="仿宋_GB2312"/>
          <w:color w:val="000000"/>
          <w:sz w:val="32"/>
          <w:szCs w:val="32"/>
          <w:shd w:val="clear" w:color="auto" w:fill="FFFFFF"/>
        </w:rPr>
        <w:t>647.6</w:t>
      </w:r>
      <w:r>
        <w:rPr>
          <w:rFonts w:ascii="仿宋" w:hAnsi="仿宋" w:eastAsia="仿宋" w:cs="仿宋_GB2312"/>
          <w:color w:val="000000"/>
          <w:sz w:val="32"/>
          <w:szCs w:val="32"/>
          <w:shd w:val="clear" w:color="auto" w:fill="FFFFFF"/>
        </w:rPr>
        <w:t>万元</w:t>
      </w:r>
      <w:r>
        <w:rPr>
          <w:rFonts w:hint="eastAsia" w:ascii="仿宋" w:hAnsi="仿宋" w:eastAsia="仿宋" w:cs="仿宋_GB2312"/>
          <w:color w:val="000000"/>
          <w:sz w:val="32"/>
          <w:szCs w:val="32"/>
          <w:shd w:val="clear" w:color="auto" w:fill="FFFFFF"/>
        </w:rPr>
        <w:t>增加61.6％。。</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ascii="Calibri" w:hAnsi="Calibri" w:eastAsia="仿宋" w:cs="Calibri"/>
          <w:color w:val="000000"/>
          <w:kern w:val="2"/>
          <w:sz w:val="32"/>
          <w:szCs w:val="32"/>
          <w:shd w:val="clear" w:color="auto" w:fill="FFFFFF"/>
        </w:rPr>
        <w:t> </w:t>
      </w:r>
      <w:r>
        <w:rPr>
          <w:rFonts w:ascii="仿宋" w:hAnsi="仿宋" w:eastAsia="仿宋" w:cs="仿宋_GB2312"/>
          <w:color w:val="000000"/>
          <w:kern w:val="2"/>
          <w:sz w:val="32"/>
          <w:szCs w:val="32"/>
          <w:shd w:val="clear" w:color="auto" w:fill="FFFFFF"/>
        </w:rPr>
        <w:t>2017年决算支出数</w:t>
      </w:r>
      <w:r>
        <w:rPr>
          <w:rFonts w:hint="eastAsia" w:ascii="仿宋" w:hAnsi="仿宋" w:eastAsia="仿宋" w:cs="仿宋_GB2312"/>
          <w:color w:val="000000"/>
          <w:kern w:val="2"/>
          <w:sz w:val="32"/>
          <w:szCs w:val="32"/>
          <w:shd w:val="clear" w:color="auto" w:fill="FFFFFF"/>
        </w:rPr>
        <w:t>1042.091</w:t>
      </w:r>
      <w:r>
        <w:rPr>
          <w:rFonts w:ascii="仿宋" w:hAnsi="仿宋" w:eastAsia="仿宋" w:cs="仿宋_GB2312"/>
          <w:color w:val="000000"/>
          <w:kern w:val="2"/>
          <w:sz w:val="32"/>
          <w:szCs w:val="32"/>
          <w:shd w:val="clear" w:color="auto" w:fill="FFFFFF"/>
        </w:rPr>
        <w:t>万元，其中基本支出</w:t>
      </w:r>
      <w:r>
        <w:rPr>
          <w:rFonts w:hint="eastAsia" w:ascii="仿宋" w:hAnsi="仿宋" w:eastAsia="仿宋" w:cs="仿宋_GB2312"/>
          <w:color w:val="000000"/>
          <w:kern w:val="2"/>
          <w:sz w:val="32"/>
          <w:szCs w:val="32"/>
          <w:shd w:val="clear" w:color="auto" w:fill="FFFFFF"/>
        </w:rPr>
        <w:t>339.49</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32.58％</w:t>
      </w:r>
      <w:r>
        <w:rPr>
          <w:rFonts w:ascii="仿宋" w:hAnsi="仿宋" w:eastAsia="仿宋" w:cs="仿宋_GB2312"/>
          <w:color w:val="000000"/>
          <w:kern w:val="2"/>
          <w:sz w:val="32"/>
          <w:szCs w:val="32"/>
          <w:shd w:val="clear" w:color="auto" w:fill="FFFFFF"/>
        </w:rPr>
        <w:t>，项目支出数为</w:t>
      </w:r>
      <w:r>
        <w:rPr>
          <w:rFonts w:hint="eastAsia" w:ascii="仿宋" w:hAnsi="仿宋" w:eastAsia="仿宋" w:cs="仿宋_GB2312"/>
          <w:color w:val="000000"/>
          <w:kern w:val="2"/>
          <w:sz w:val="32"/>
          <w:szCs w:val="32"/>
          <w:shd w:val="clear" w:color="auto" w:fill="FFFFFF"/>
        </w:rPr>
        <w:t>702.6</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67.42％</w:t>
      </w:r>
      <w:r>
        <w:rPr>
          <w:rFonts w:ascii="仿宋" w:hAnsi="仿宋" w:eastAsia="仿宋" w:cs="仿宋_GB2312"/>
          <w:color w:val="000000"/>
          <w:kern w:val="2"/>
          <w:sz w:val="32"/>
          <w:szCs w:val="32"/>
          <w:shd w:val="clear" w:color="auto" w:fill="FFFFFF"/>
        </w:rPr>
        <w:t>。</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2017年度总支出决算为</w:t>
      </w:r>
      <w:r>
        <w:rPr>
          <w:rFonts w:hint="eastAsia" w:ascii="仿宋" w:hAnsi="仿宋" w:eastAsia="仿宋" w:cs="鐎瑰缍�"/>
          <w:color w:val="000000"/>
          <w:sz w:val="27"/>
          <w:szCs w:val="27"/>
          <w:shd w:val="clear" w:color="auto" w:fill="F8F8F8"/>
        </w:rPr>
        <w:t>1042.091</w:t>
      </w:r>
      <w:r>
        <w:rPr>
          <w:rFonts w:hint="eastAsia" w:ascii="仿宋" w:hAnsi="仿宋" w:eastAsia="仿宋" w:cs="仿宋_GB2312"/>
          <w:color w:val="000000"/>
          <w:sz w:val="32"/>
          <w:szCs w:val="32"/>
          <w:shd w:val="clear" w:color="auto" w:fill="FFFFFF"/>
        </w:rPr>
        <w:t>万元，支出决算按照功能分类情况：一般公共服务支出452.49万元，公共安全支出20万元，教育支出0.77万元，社会保障和就业支出15.4万元，医疗卫生和计划生育支出10.47万元，节能环保支出92.03万元，城乡社区支出58.06万元，农林水支出376.38万元，资源勘探信息等支出16.5万元。按照支出性质情况：基本支出339.49万元，项目支出702.6万元。按照经济分类情况：工资福利支出201.13万元，商品和服务支出421.72万元，对个人和家庭的补助支出297.12万元，其他资本性支出122.16万元。</w:t>
      </w:r>
    </w:p>
    <w:p>
      <w:pPr>
        <w:pStyle w:val="12"/>
        <w:widowControl/>
        <w:numPr>
          <w:ilvl w:val="0"/>
          <w:numId w:val="6"/>
        </w:numPr>
        <w:adjustRightInd w:val="0"/>
        <w:snapToGrid w:val="0"/>
        <w:spacing w:before="100" w:beforeAutospacing="1" w:after="100" w:afterAutospacing="1"/>
        <w:ind w:left="0" w:firstLine="64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收入支出结构分析</w:t>
      </w:r>
    </w:p>
    <w:p>
      <w:pPr>
        <w:pStyle w:val="4"/>
        <w:widowControl/>
        <w:shd w:val="clear" w:color="auto" w:fill="F8F8F8"/>
        <w:spacing w:before="100" w:after="100"/>
        <w:ind w:firstLine="640" w:firstLineChars="200"/>
        <w:rPr>
          <w:rFonts w:ascii="仿宋" w:hAnsi="仿宋" w:eastAsia="仿宋" w:cs="新宋体"/>
          <w:color w:val="000000"/>
          <w:kern w:val="2"/>
          <w:sz w:val="32"/>
          <w:szCs w:val="32"/>
          <w:shd w:val="clear" w:color="auto" w:fill="FFFFFF"/>
        </w:rPr>
      </w:pPr>
      <w:r>
        <w:rPr>
          <w:rFonts w:hint="eastAsia" w:ascii="仿宋" w:hAnsi="仿宋" w:eastAsia="仿宋" w:cs="仿宋_GB2312"/>
          <w:color w:val="000000"/>
          <w:sz w:val="32"/>
          <w:szCs w:val="32"/>
          <w:shd w:val="clear" w:color="auto" w:fill="FFFFFF"/>
        </w:rPr>
        <w:t xml:space="preserve"> </w:t>
      </w:r>
      <w:r>
        <w:rPr>
          <w:rFonts w:ascii="仿宋" w:hAnsi="仿宋" w:eastAsia="仿宋" w:cs="仿宋_GB2312"/>
          <w:color w:val="000000"/>
          <w:sz w:val="32"/>
          <w:szCs w:val="32"/>
          <w:shd w:val="clear" w:color="auto" w:fill="FFFFFF"/>
        </w:rPr>
        <w:t xml:space="preserve">  </w:t>
      </w:r>
      <w:r>
        <w:rPr>
          <w:rFonts w:hint="eastAsia" w:ascii="仿宋" w:hAnsi="仿宋" w:eastAsia="仿宋" w:cs="仿宋_GB2312"/>
          <w:color w:val="000000"/>
          <w:sz w:val="32"/>
          <w:szCs w:val="32"/>
          <w:shd w:val="clear" w:color="auto" w:fill="FFFFFF"/>
        </w:rPr>
        <w:t>（1）</w:t>
      </w:r>
      <w:r>
        <w:rPr>
          <w:rFonts w:ascii="仿宋" w:hAnsi="仿宋" w:eastAsia="仿宋" w:cs="新宋体"/>
          <w:color w:val="000000"/>
          <w:kern w:val="2"/>
          <w:sz w:val="32"/>
          <w:szCs w:val="32"/>
          <w:shd w:val="clear" w:color="auto" w:fill="FFFFFF"/>
        </w:rPr>
        <w:t>2017年决算收入数</w:t>
      </w:r>
      <w:r>
        <w:rPr>
          <w:rFonts w:hint="eastAsia" w:ascii="仿宋" w:hAnsi="仿宋" w:eastAsia="仿宋" w:cs="新宋体"/>
          <w:color w:val="000000"/>
          <w:kern w:val="2"/>
          <w:sz w:val="32"/>
          <w:szCs w:val="32"/>
          <w:shd w:val="clear" w:color="auto" w:fill="FFFFFF"/>
        </w:rPr>
        <w:t>1046.7142</w:t>
      </w:r>
      <w:r>
        <w:rPr>
          <w:rFonts w:ascii="仿宋" w:hAnsi="仿宋" w:eastAsia="仿宋" w:cs="新宋体"/>
          <w:color w:val="000000"/>
          <w:kern w:val="2"/>
          <w:sz w:val="32"/>
          <w:szCs w:val="32"/>
          <w:shd w:val="clear" w:color="auto" w:fill="FFFFFF"/>
        </w:rPr>
        <w:t>万元，其中财政拨款数</w:t>
      </w:r>
      <w:r>
        <w:rPr>
          <w:rFonts w:hint="eastAsia" w:ascii="仿宋" w:hAnsi="仿宋" w:eastAsia="仿宋" w:cs="新宋体"/>
          <w:color w:val="000000"/>
          <w:kern w:val="2"/>
          <w:sz w:val="32"/>
          <w:szCs w:val="32"/>
          <w:shd w:val="clear" w:color="auto" w:fill="FFFFFF"/>
        </w:rPr>
        <w:t>1046.7142</w:t>
      </w:r>
      <w:r>
        <w:rPr>
          <w:rFonts w:ascii="仿宋" w:hAnsi="仿宋" w:eastAsia="仿宋" w:cs="新宋体"/>
          <w:color w:val="000000"/>
          <w:kern w:val="2"/>
          <w:sz w:val="32"/>
          <w:szCs w:val="32"/>
          <w:shd w:val="clear" w:color="auto" w:fill="FFFFFF"/>
        </w:rPr>
        <w:t>万元，占总收入的</w:t>
      </w:r>
      <w:r>
        <w:rPr>
          <w:rFonts w:hint="eastAsia" w:ascii="仿宋" w:hAnsi="仿宋" w:eastAsia="仿宋" w:cs="新宋体"/>
          <w:color w:val="000000"/>
          <w:kern w:val="2"/>
          <w:sz w:val="32"/>
          <w:szCs w:val="32"/>
          <w:shd w:val="clear" w:color="auto" w:fill="FFFFFF"/>
        </w:rPr>
        <w:t>100％</w:t>
      </w:r>
      <w:r>
        <w:rPr>
          <w:rFonts w:ascii="仿宋" w:hAnsi="仿宋" w:eastAsia="仿宋" w:cs="新宋体"/>
          <w:color w:val="000000"/>
          <w:kern w:val="2"/>
          <w:sz w:val="32"/>
          <w:szCs w:val="32"/>
          <w:shd w:val="clear" w:color="auto" w:fill="FFFFFF"/>
        </w:rPr>
        <w:t>。较上年</w:t>
      </w:r>
      <w:r>
        <w:rPr>
          <w:rFonts w:hint="eastAsia" w:ascii="仿宋" w:hAnsi="仿宋" w:eastAsia="仿宋" w:cs="新宋体"/>
          <w:color w:val="000000"/>
          <w:kern w:val="2"/>
          <w:sz w:val="32"/>
          <w:szCs w:val="32"/>
          <w:shd w:val="clear" w:color="auto" w:fill="FFFFFF"/>
        </w:rPr>
        <w:t>647.6</w:t>
      </w:r>
      <w:r>
        <w:rPr>
          <w:rFonts w:ascii="仿宋" w:hAnsi="仿宋" w:eastAsia="仿宋" w:cs="新宋体"/>
          <w:color w:val="000000"/>
          <w:kern w:val="2"/>
          <w:sz w:val="32"/>
          <w:szCs w:val="32"/>
          <w:shd w:val="clear" w:color="auto" w:fill="FFFFFF"/>
        </w:rPr>
        <w:t>万元</w:t>
      </w:r>
      <w:r>
        <w:rPr>
          <w:rFonts w:hint="eastAsia" w:ascii="仿宋" w:hAnsi="仿宋" w:eastAsia="仿宋" w:cs="新宋体"/>
          <w:color w:val="000000"/>
          <w:kern w:val="2"/>
          <w:sz w:val="32"/>
          <w:szCs w:val="32"/>
          <w:shd w:val="clear" w:color="auto" w:fill="FFFFFF"/>
        </w:rPr>
        <w:t>增加61.6％</w:t>
      </w:r>
      <w:r>
        <w:rPr>
          <w:rFonts w:ascii="仿宋" w:hAnsi="仿宋" w:eastAsia="仿宋" w:cs="新宋体"/>
          <w:color w:val="000000"/>
          <w:kern w:val="2"/>
          <w:sz w:val="32"/>
          <w:szCs w:val="32"/>
          <w:shd w:val="clear" w:color="auto" w:fill="FFFFFF"/>
        </w:rPr>
        <w:t>，</w:t>
      </w:r>
      <w:r>
        <w:rPr>
          <w:rFonts w:hint="eastAsia" w:ascii="仿宋" w:hAnsi="仿宋" w:eastAsia="仿宋" w:cs="新宋体"/>
          <w:color w:val="000000"/>
          <w:kern w:val="2"/>
          <w:sz w:val="32"/>
          <w:szCs w:val="32"/>
          <w:shd w:val="clear" w:color="auto" w:fill="FFFFFF"/>
        </w:rPr>
        <w:t>主要是人员经费和项目经费增加</w:t>
      </w:r>
      <w:r>
        <w:rPr>
          <w:rFonts w:ascii="仿宋" w:hAnsi="仿宋" w:eastAsia="仿宋" w:cs="新宋体"/>
          <w:color w:val="000000"/>
          <w:kern w:val="2"/>
          <w:sz w:val="32"/>
          <w:szCs w:val="32"/>
          <w:shd w:val="clear" w:color="auto" w:fill="FFFFFF"/>
        </w:rPr>
        <w:t>。</w:t>
      </w:r>
    </w:p>
    <w:p>
      <w:pPr>
        <w:pStyle w:val="4"/>
        <w:widowControl/>
        <w:shd w:val="clear" w:color="auto" w:fill="F8F8F8"/>
        <w:spacing w:before="100" w:after="100"/>
        <w:ind w:firstLine="640" w:firstLineChars="200"/>
        <w:rPr>
          <w:rFonts w:ascii="仿宋" w:hAnsi="仿宋" w:eastAsia="仿宋" w:cs="新宋体"/>
          <w:color w:val="000000"/>
          <w:kern w:val="2"/>
          <w:sz w:val="32"/>
          <w:szCs w:val="32"/>
          <w:shd w:val="clear" w:color="auto" w:fill="FFFFFF"/>
        </w:rPr>
      </w:pPr>
      <w:r>
        <w:rPr>
          <w:rFonts w:hint="eastAsia" w:ascii="仿宋" w:hAnsi="仿宋" w:eastAsia="仿宋" w:cs="新宋体"/>
          <w:color w:val="000000"/>
          <w:kern w:val="2"/>
          <w:sz w:val="32"/>
          <w:szCs w:val="32"/>
          <w:shd w:val="clear" w:color="auto" w:fill="FFFFFF"/>
        </w:rPr>
        <w:t>（2）</w:t>
      </w:r>
      <w:r>
        <w:rPr>
          <w:rFonts w:ascii="仿宋" w:hAnsi="仿宋" w:eastAsia="仿宋" w:cs="新宋体"/>
          <w:color w:val="000000"/>
          <w:kern w:val="2"/>
          <w:sz w:val="32"/>
          <w:szCs w:val="32"/>
          <w:shd w:val="clear" w:color="auto" w:fill="FFFFFF"/>
        </w:rPr>
        <w:t>2017年决算支出数</w:t>
      </w:r>
      <w:r>
        <w:rPr>
          <w:rFonts w:hint="eastAsia" w:ascii="仿宋" w:hAnsi="仿宋" w:eastAsia="仿宋" w:cs="新宋体"/>
          <w:color w:val="000000"/>
          <w:kern w:val="2"/>
          <w:sz w:val="32"/>
          <w:szCs w:val="32"/>
          <w:shd w:val="clear" w:color="auto" w:fill="FFFFFF"/>
        </w:rPr>
        <w:t>1042.091</w:t>
      </w:r>
      <w:r>
        <w:rPr>
          <w:rFonts w:ascii="仿宋" w:hAnsi="仿宋" w:eastAsia="仿宋" w:cs="新宋体"/>
          <w:color w:val="000000"/>
          <w:kern w:val="2"/>
          <w:sz w:val="32"/>
          <w:szCs w:val="32"/>
          <w:shd w:val="clear" w:color="auto" w:fill="FFFFFF"/>
        </w:rPr>
        <w:t>万元，其中基本支出</w:t>
      </w:r>
      <w:r>
        <w:rPr>
          <w:rFonts w:hint="eastAsia" w:ascii="仿宋" w:hAnsi="仿宋" w:eastAsia="仿宋" w:cs="新宋体"/>
          <w:color w:val="000000"/>
          <w:kern w:val="2"/>
          <w:sz w:val="32"/>
          <w:szCs w:val="32"/>
          <w:shd w:val="clear" w:color="auto" w:fill="FFFFFF"/>
        </w:rPr>
        <w:t>339.49</w:t>
      </w:r>
      <w:r>
        <w:rPr>
          <w:rFonts w:ascii="仿宋" w:hAnsi="仿宋" w:eastAsia="仿宋" w:cs="新宋体"/>
          <w:color w:val="000000"/>
          <w:kern w:val="2"/>
          <w:sz w:val="32"/>
          <w:szCs w:val="32"/>
          <w:shd w:val="clear" w:color="auto" w:fill="FFFFFF"/>
        </w:rPr>
        <w:t>万元，占总支出数的</w:t>
      </w:r>
      <w:r>
        <w:rPr>
          <w:rFonts w:hint="eastAsia" w:ascii="仿宋" w:hAnsi="仿宋" w:eastAsia="仿宋" w:cs="新宋体"/>
          <w:color w:val="000000"/>
          <w:kern w:val="2"/>
          <w:sz w:val="32"/>
          <w:szCs w:val="32"/>
          <w:shd w:val="clear" w:color="auto" w:fill="FFFFFF"/>
        </w:rPr>
        <w:t>32.58％</w:t>
      </w:r>
      <w:r>
        <w:rPr>
          <w:rFonts w:ascii="仿宋" w:hAnsi="仿宋" w:eastAsia="仿宋" w:cs="新宋体"/>
          <w:color w:val="000000"/>
          <w:kern w:val="2"/>
          <w:sz w:val="32"/>
          <w:szCs w:val="32"/>
          <w:shd w:val="clear" w:color="auto" w:fill="FFFFFF"/>
        </w:rPr>
        <w:t>，项目支出数为</w:t>
      </w:r>
      <w:r>
        <w:rPr>
          <w:rFonts w:hint="eastAsia" w:ascii="仿宋" w:hAnsi="仿宋" w:eastAsia="仿宋" w:cs="新宋体"/>
          <w:color w:val="000000"/>
          <w:kern w:val="2"/>
          <w:sz w:val="32"/>
          <w:szCs w:val="32"/>
          <w:shd w:val="clear" w:color="auto" w:fill="FFFFFF"/>
        </w:rPr>
        <w:t>702.6</w:t>
      </w:r>
      <w:r>
        <w:rPr>
          <w:rFonts w:ascii="仿宋" w:hAnsi="仿宋" w:eastAsia="仿宋" w:cs="新宋体"/>
          <w:color w:val="000000"/>
          <w:kern w:val="2"/>
          <w:sz w:val="32"/>
          <w:szCs w:val="32"/>
          <w:shd w:val="clear" w:color="auto" w:fill="FFFFFF"/>
        </w:rPr>
        <w:t>万元，占总支出数的</w:t>
      </w:r>
      <w:r>
        <w:rPr>
          <w:rFonts w:hint="eastAsia" w:ascii="仿宋" w:hAnsi="仿宋" w:eastAsia="仿宋" w:cs="新宋体"/>
          <w:color w:val="000000"/>
          <w:kern w:val="2"/>
          <w:sz w:val="32"/>
          <w:szCs w:val="32"/>
          <w:shd w:val="clear" w:color="auto" w:fill="FFFFFF"/>
        </w:rPr>
        <w:t>67.42％</w:t>
      </w:r>
      <w:r>
        <w:rPr>
          <w:rFonts w:ascii="仿宋" w:hAnsi="仿宋" w:eastAsia="仿宋" w:cs="新宋体"/>
          <w:color w:val="000000"/>
          <w:kern w:val="2"/>
          <w:sz w:val="32"/>
          <w:szCs w:val="32"/>
          <w:shd w:val="clear" w:color="auto" w:fill="FFFFFF"/>
        </w:rPr>
        <w:t>。</w:t>
      </w:r>
    </w:p>
    <w:p>
      <w:pPr>
        <w:pStyle w:val="4"/>
        <w:widowControl/>
        <w:shd w:val="clear" w:color="auto" w:fill="F8F8F8"/>
        <w:spacing w:before="100" w:after="100"/>
        <w:ind w:firstLine="640" w:firstLineChars="200"/>
        <w:rPr>
          <w:rFonts w:ascii="仿宋" w:hAnsi="仿宋" w:eastAsia="仿宋" w:cs="新宋体"/>
          <w:color w:val="000000"/>
          <w:kern w:val="2"/>
          <w:sz w:val="32"/>
          <w:szCs w:val="32"/>
          <w:shd w:val="clear" w:color="auto" w:fill="FFFFFF"/>
        </w:rPr>
      </w:pPr>
      <w:r>
        <w:rPr>
          <w:rFonts w:hint="eastAsia" w:ascii="仿宋" w:hAnsi="仿宋" w:eastAsia="仿宋" w:cs="新宋体"/>
          <w:color w:val="000000"/>
          <w:kern w:val="2"/>
          <w:sz w:val="32"/>
          <w:szCs w:val="32"/>
          <w:shd w:val="clear" w:color="auto" w:fill="FFFFFF"/>
        </w:rPr>
        <w:t>（3）</w:t>
      </w:r>
      <w:r>
        <w:rPr>
          <w:rFonts w:ascii="仿宋" w:hAnsi="仿宋" w:eastAsia="仿宋" w:cs="新宋体"/>
          <w:color w:val="000000"/>
          <w:kern w:val="2"/>
          <w:sz w:val="32"/>
          <w:szCs w:val="32"/>
          <w:shd w:val="clear" w:color="auto" w:fill="FFFFFF"/>
        </w:rPr>
        <w:t>2017年决算结余资金为</w:t>
      </w:r>
      <w:r>
        <w:rPr>
          <w:rFonts w:hint="eastAsia" w:ascii="仿宋" w:hAnsi="仿宋" w:eastAsia="仿宋" w:cs="新宋体"/>
          <w:color w:val="000000"/>
          <w:kern w:val="2"/>
          <w:sz w:val="32"/>
          <w:szCs w:val="32"/>
          <w:shd w:val="clear" w:color="auto" w:fill="FFFFFF"/>
        </w:rPr>
        <w:t>46232.4元</w:t>
      </w:r>
      <w:r>
        <w:rPr>
          <w:rFonts w:ascii="仿宋" w:hAnsi="仿宋" w:eastAsia="仿宋" w:cs="新宋体"/>
          <w:color w:val="000000"/>
          <w:kern w:val="2"/>
          <w:sz w:val="32"/>
          <w:szCs w:val="32"/>
          <w:shd w:val="clear" w:color="auto" w:fill="FFFFFF"/>
        </w:rPr>
        <w:t>。</w:t>
      </w:r>
      <w:r>
        <w:rPr>
          <w:rFonts w:hint="eastAsia" w:ascii="仿宋" w:hAnsi="仿宋" w:eastAsia="仿宋" w:cs="新宋体"/>
          <w:color w:val="000000"/>
          <w:kern w:val="2"/>
          <w:sz w:val="32"/>
          <w:szCs w:val="32"/>
          <w:shd w:val="clear" w:color="auto" w:fill="FFFFFF"/>
        </w:rPr>
        <w:t>上年度不存在结余，主要是村干部工资的剩余。</w:t>
      </w:r>
    </w:p>
    <w:p>
      <w:pPr>
        <w:widowControl/>
        <w:numPr>
          <w:ilvl w:val="0"/>
          <w:numId w:val="7"/>
        </w:numPr>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 xml:space="preserve"> “三公”经费支出决算情况</w:t>
      </w:r>
    </w:p>
    <w:p>
      <w:pPr>
        <w:widowControl/>
        <w:numPr>
          <w:ilvl w:val="0"/>
          <w:numId w:val="8"/>
        </w:numPr>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“三公”经费与上年度对比分析</w:t>
      </w:r>
    </w:p>
    <w:p>
      <w:pPr>
        <w:widowControl/>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 xml:space="preserve">                                   </w:t>
      </w:r>
      <w:r>
        <w:rPr>
          <w:rFonts w:hint="eastAsia" w:ascii="仿宋" w:hAnsi="仿宋" w:eastAsia="仿宋" w:cs="新宋体"/>
          <w:color w:val="000000"/>
          <w:sz w:val="28"/>
          <w:szCs w:val="28"/>
          <w:shd w:val="clear" w:color="auto" w:fill="FFFFFF"/>
        </w:rPr>
        <w:t>金额单位：万元</w:t>
      </w:r>
    </w:p>
    <w:tbl>
      <w:tblPr>
        <w:tblStyle w:val="9"/>
        <w:tblW w:w="918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01"/>
        <w:gridCol w:w="1701"/>
        <w:gridCol w:w="173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名称</w:t>
            </w:r>
          </w:p>
        </w:tc>
        <w:tc>
          <w:tcPr>
            <w:tcW w:w="1701" w:type="dxa"/>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2016年</w:t>
            </w:r>
          </w:p>
        </w:tc>
        <w:tc>
          <w:tcPr>
            <w:tcW w:w="1701" w:type="dxa"/>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2017年</w:t>
            </w:r>
          </w:p>
        </w:tc>
        <w:tc>
          <w:tcPr>
            <w:tcW w:w="1738" w:type="dxa"/>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增减额</w:t>
            </w:r>
          </w:p>
        </w:tc>
        <w:tc>
          <w:tcPr>
            <w:tcW w:w="1664" w:type="dxa"/>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因公出国（境）费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5.28</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28</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其中：公务用车购置费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5.28</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-3.28</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公务接待费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3.13</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3.1</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-0.03</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合计</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8.41</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5.1</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r>
    </w:tbl>
    <w:p>
      <w:pPr>
        <w:widowControl/>
        <w:adjustRightInd w:val="0"/>
        <w:spacing w:before="100" w:beforeAutospacing="1" w:after="100" w:afterAutospacing="1"/>
        <w:ind w:firstLine="640" w:firstLineChars="200"/>
        <w:contextualSpacing/>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根据工作需要，公务接待费减少0.3万元原因是，公务接待费支出严格执行只减不增的原则，把控支出的相关规范和依据，节约财政资金；严格执行公务用车改革制度，加强日常用车管理，公务用车运行维护费减少3.28万元，原因是不断加强公务用车管理，节约开支；公务用车购置费同上年度一样为零。</w:t>
      </w:r>
    </w:p>
    <w:p>
      <w:pPr>
        <w:widowControl/>
        <w:numPr>
          <w:ilvl w:val="0"/>
          <w:numId w:val="8"/>
        </w:numPr>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“三公”经费支出预决算分析</w:t>
      </w:r>
    </w:p>
    <w:p>
      <w:pPr>
        <w:widowControl/>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 xml:space="preserve">                                  </w:t>
      </w:r>
      <w:r>
        <w:rPr>
          <w:rFonts w:hint="eastAsia" w:ascii="仿宋" w:hAnsi="仿宋" w:eastAsia="仿宋" w:cs="新宋体"/>
          <w:color w:val="000000"/>
          <w:sz w:val="28"/>
          <w:szCs w:val="28"/>
          <w:shd w:val="clear" w:color="auto" w:fill="FFFFFF"/>
        </w:rPr>
        <w:t>金额单位：万元</w:t>
      </w:r>
    </w:p>
    <w:tbl>
      <w:tblPr>
        <w:tblStyle w:val="9"/>
        <w:tblW w:w="9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1650"/>
        <w:gridCol w:w="1701"/>
        <w:gridCol w:w="1701"/>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名称</w:t>
            </w:r>
          </w:p>
        </w:tc>
        <w:tc>
          <w:tcPr>
            <w:tcW w:w="1650"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预算</w:t>
            </w:r>
          </w:p>
        </w:tc>
        <w:tc>
          <w:tcPr>
            <w:tcW w:w="1701"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决算</w:t>
            </w:r>
          </w:p>
        </w:tc>
        <w:tc>
          <w:tcPr>
            <w:tcW w:w="1701"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增减额</w:t>
            </w:r>
          </w:p>
        </w:tc>
        <w:tc>
          <w:tcPr>
            <w:tcW w:w="1676"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因公出国（境）费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676" w:type="dxa"/>
            <w:vAlign w:val="center"/>
          </w:tcPr>
          <w:p>
            <w:pPr>
              <w:widowControl/>
              <w:adjustRightInd w:val="0"/>
              <w:snapToGrid w:val="0"/>
              <w:spacing w:before="100" w:beforeAutospacing="1" w:after="100" w:afterAutospacing="1"/>
              <w:rPr>
                <w:rFonts w:ascii="仿宋" w:hAnsi="仿宋" w:eastAsia="仿宋" w:cs="仿宋"/>
                <w:color w:val="00000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0.8</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1.2</w:t>
            </w: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其中：公务用车购置费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0.8</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1.2</w:t>
            </w: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公务接待费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3.1</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3.1</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合计</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3.9</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5.1</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r>
    </w:tbl>
    <w:p>
      <w:pPr>
        <w:widowControl/>
        <w:adjustRightInd w:val="0"/>
        <w:spacing w:before="100" w:beforeAutospacing="1" w:after="100" w:afterAutospacing="1"/>
        <w:ind w:firstLine="640" w:firstLineChars="200"/>
        <w:contextualSpacing/>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我部门公务用车运行维护费年初预算数0.8万元，决算数2万元，主要原因是：我部门因秸秆禁烧及环保等原因，需经常下村，导致公务用车开支超标；公务接待数年初算数3.1万元，决算数为3.1万元，与预算数一致。出国团组为0个，0人次。公务用车保有量为1辆。国内公务接待58批次，600人次。</w:t>
      </w:r>
    </w:p>
    <w:p>
      <w:pPr>
        <w:pStyle w:val="4"/>
        <w:widowControl/>
        <w:numPr>
          <w:ilvl w:val="0"/>
          <w:numId w:val="9"/>
        </w:numPr>
        <w:shd w:val="clear" w:color="auto" w:fill="FFFFFF"/>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预算绩效管理工作开展情况说明</w:t>
      </w:r>
    </w:p>
    <w:p>
      <w:pPr>
        <w:pStyle w:val="4"/>
        <w:widowControl/>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（一）总体情况</w:t>
      </w:r>
    </w:p>
    <w:p>
      <w:pPr>
        <w:pStyle w:val="4"/>
        <w:widowControl/>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2017年，我镇紧紧围绕南宫市委员会和南宫市政府的决策部署，预算安排各项资金，强力推进行政管理改革，扎实推进小城镇建设。</w:t>
      </w:r>
    </w:p>
    <w:p>
      <w:pPr>
        <w:pStyle w:val="4"/>
        <w:widowControl/>
        <w:numPr>
          <w:ilvl w:val="0"/>
          <w:numId w:val="10"/>
        </w:numPr>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绩效自评开展情况</w:t>
      </w:r>
    </w:p>
    <w:p>
      <w:pPr>
        <w:pStyle w:val="4"/>
        <w:widowControl/>
        <w:numPr>
          <w:ilvl w:val="0"/>
          <w:numId w:val="11"/>
        </w:numPr>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 xml:space="preserve">前期准备。成立以党委书记任组长，各分管片长任副组长， 计财装备处、业务处室等部门为成员的绩效评价工作组，统筹组织开展绩效评价工作。召开专题会议研究部署，认真传达学习《关于做好 2018 年省直部门绩效自评工作的通知》等文件精神，明确目标任务， 落实责任分工，确保自评工作扎实有效开展。 </w:t>
      </w:r>
    </w:p>
    <w:p>
      <w:pPr>
        <w:pStyle w:val="4"/>
        <w:widowControl/>
        <w:shd w:val="clear" w:color="auto" w:fill="FFFFFF"/>
        <w:adjustRightInd w:val="0"/>
        <w:spacing w:before="100" w:after="100"/>
        <w:ind w:firstLine="707" w:firstLineChars="221"/>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2、组织实施。对资金使用进行综合自评，采取收集、审核资料、现场核实、综合评价等措施进行定量定性的评价，最后分别形成结论。</w:t>
      </w:r>
    </w:p>
    <w:p>
      <w:pPr>
        <w:pStyle w:val="4"/>
        <w:widowControl/>
        <w:shd w:val="clear" w:color="auto" w:fill="FFFFFF"/>
        <w:adjustRightInd w:val="0"/>
        <w:spacing w:before="100" w:after="100"/>
        <w:ind w:firstLine="707" w:firstLineChars="221"/>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3、分析评价。根据评价，对发现的问题提出意见和建议，汇总形成预算安排的专项项目绩效目标自评表，按照规定的文本格式和要求撰写绩效评价报告，并在规定的时间内正式提交。</w:t>
      </w:r>
    </w:p>
    <w:p>
      <w:pPr>
        <w:pStyle w:val="4"/>
        <w:widowControl/>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（三）部门整体绩效目标的完成情况</w:t>
      </w:r>
    </w:p>
    <w:p>
      <w:pPr>
        <w:spacing w:before="100" w:beforeAutospacing="1" w:after="100" w:afterAutospacing="1"/>
        <w:ind w:firstLine="640" w:firstLineChars="200"/>
        <w:rPr>
          <w:rFonts w:ascii="仿宋" w:hAnsi="仿宋" w:eastAsia="仿宋" w:cs="Times New Roman"/>
          <w:sz w:val="32"/>
          <w:szCs w:val="32"/>
        </w:rPr>
      </w:pPr>
      <w:r>
        <w:rPr>
          <w:rFonts w:hint="eastAsia" w:ascii="仿宋" w:hAnsi="仿宋" w:eastAsia="仿宋" w:cs="仿宋_GB2312"/>
          <w:color w:val="000000"/>
          <w:sz w:val="32"/>
          <w:szCs w:val="32"/>
          <w:shd w:val="clear" w:color="auto" w:fill="FFFFFF"/>
        </w:rPr>
        <w:t xml:space="preserve">   </w:t>
      </w:r>
      <w:r>
        <w:rPr>
          <w:rFonts w:ascii="仿宋" w:hAnsi="仿宋" w:eastAsia="仿宋" w:cs="Times New Roman"/>
          <w:b/>
          <w:bCs/>
          <w:sz w:val="32"/>
          <w:szCs w:val="32"/>
        </w:rPr>
        <w:t>1、经济保持较快发展增速，各项指标圆满完成。</w:t>
      </w:r>
      <w:r>
        <w:rPr>
          <w:rFonts w:ascii="仿宋" w:hAnsi="仿宋" w:eastAsia="仿宋" w:cs="Times New Roman"/>
          <w:sz w:val="32"/>
          <w:szCs w:val="32"/>
        </w:rPr>
        <w:t>进一步整合力量，强化对税收征管行为的监督，挖税源、抓征收、抢进度，使税收入库进度明显加快，取得了显著成效。提前100天完成全年财政收入目标，截止到12月底，全镇国地税收入完成2483.3万元，镇本级财政收入完成950.4万元；引进国内市外资金2.16亿元，占全年任务的108%；固定资产投资完成8.03亿元，占全年任务的100.4%，市里下达的各项任务目标均圆满完成。</w:t>
      </w:r>
    </w:p>
    <w:p>
      <w:pPr>
        <w:spacing w:before="100" w:beforeAutospacing="1" w:after="100" w:afterAutospacing="1"/>
        <w:ind w:firstLine="643" w:firstLineChars="200"/>
        <w:rPr>
          <w:rFonts w:ascii="仿宋" w:hAnsi="仿宋" w:eastAsia="仿宋" w:cs="Times New Roman"/>
          <w:sz w:val="32"/>
          <w:szCs w:val="32"/>
        </w:rPr>
      </w:pPr>
      <w:r>
        <w:rPr>
          <w:rFonts w:ascii="仿宋" w:hAnsi="仿宋" w:eastAsia="仿宋" w:cs="Times New Roman"/>
          <w:b/>
          <w:bCs/>
          <w:sz w:val="32"/>
          <w:szCs w:val="32"/>
        </w:rPr>
        <w:t>2、坚持“走出去”、“请进来”，下大力抓好招商引资和项目建设工作。</w:t>
      </w:r>
      <w:r>
        <w:rPr>
          <w:rFonts w:ascii="仿宋" w:hAnsi="仿宋" w:eastAsia="仿宋" w:cs="Times New Roman"/>
          <w:sz w:val="32"/>
          <w:szCs w:val="32"/>
        </w:rPr>
        <w:t>始终把招商引资作为经济工作的首要任务，截止目前，签约引进项目2个：一是北京永隆家业皮草有限公司新上皮草服装、服饰加工生产项目。项目选址在南慈达村东，总投资5300万元，占地35亩，主要建设生产车间、原材料库、成品库等建筑面积20150平方米，新上精密梳毛机、高速并条机、割圈绒机等各类生产设备1135台（套），年产兔皮、水貂、獭兔皮、羊皮（羊羔）等各类裘皮纺织服装8000余件。二是冀南家具产业园项目。项目位于南宫市经济开发区。园区总规划面积6000亩，分三期建设。全部建成后，将成为高标准、现代化的低碳产业园区和中国家具产业新的聚集地。一期占地400亩的起步区建设进展顺利，标准化厂房正在建设，34家企业即将入驻启动生产。</w:t>
      </w:r>
    </w:p>
    <w:p>
      <w:pPr>
        <w:spacing w:before="100" w:beforeAutospacing="1" w:after="100" w:afterAutospacing="1"/>
        <w:ind w:firstLine="643" w:firstLineChars="200"/>
        <w:rPr>
          <w:rFonts w:ascii="仿宋" w:hAnsi="仿宋" w:eastAsia="仿宋" w:cs="Times New Roman"/>
          <w:sz w:val="32"/>
          <w:szCs w:val="32"/>
        </w:rPr>
      </w:pPr>
      <w:r>
        <w:rPr>
          <w:rFonts w:ascii="仿宋" w:hAnsi="仿宋" w:eastAsia="仿宋" w:cs="Times New Roman"/>
          <w:b/>
          <w:bCs/>
          <w:sz w:val="32"/>
          <w:szCs w:val="32"/>
        </w:rPr>
        <w:t>3、建管并重，特色化示范化小城镇建设迈出实质步伐。</w:t>
      </w:r>
      <w:r>
        <w:rPr>
          <w:rFonts w:ascii="仿宋" w:hAnsi="仿宋" w:eastAsia="仿宋" w:cs="Times New Roman"/>
          <w:sz w:val="32"/>
          <w:szCs w:val="32"/>
        </w:rPr>
        <w:t>一是垂杨中心村改造项目进展顺利，花园路拓宽工作现已完成1/3，街道由原本的6米，拓宽至30米，建成后将成为垂杨镇南北主轴线，5纵6横城镇路网建设格局基本形成。财富广场项目建设已完成并投入使用。二是结合镇区总体规划，对全镇现有和即将开始建设的17条道路进行了命名，现已通过市地名办审核，并制作和安装了路牌。三是原冀鲁豫边区抗日根据地垂杨县委纪念广场进入前期规划阶段。</w:t>
      </w:r>
    </w:p>
    <w:p>
      <w:pPr>
        <w:pStyle w:val="4"/>
        <w:widowControl/>
        <w:shd w:val="clear" w:color="auto" w:fill="FFFFFF"/>
        <w:adjustRightInd w:val="0"/>
        <w:spacing w:before="100" w:after="100"/>
        <w:ind w:firstLine="640" w:firstLineChars="200"/>
        <w:contextualSpacing/>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七、其他重要事项的说明</w:t>
      </w:r>
    </w:p>
    <w:p>
      <w:pPr>
        <w:pStyle w:val="4"/>
        <w:widowControl/>
        <w:shd w:val="clear" w:color="auto" w:fill="FFFFFF"/>
        <w:adjustRightInd w:val="0"/>
        <w:spacing w:before="100" w:after="100"/>
        <w:ind w:firstLine="480" w:firstLineChars="150"/>
        <w:contextualSpacing/>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（一）会议费支出情况</w:t>
      </w:r>
    </w:p>
    <w:p>
      <w:pPr>
        <w:pStyle w:val="4"/>
        <w:widowControl/>
        <w:shd w:val="clear" w:color="auto" w:fill="FFFFFF"/>
        <w:adjustRightInd w:val="0"/>
        <w:spacing w:before="100" w:after="100"/>
        <w:ind w:firstLine="640" w:firstLineChars="200"/>
        <w:contextualSpacing/>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2017年会议费支出为8.68万元，</w:t>
      </w:r>
      <w:r>
        <w:rPr>
          <w:rFonts w:hint="eastAsia" w:ascii="仿宋" w:hAnsi="仿宋" w:eastAsia="仿宋" w:cs="仿宋_GB2312"/>
          <w:sz w:val="32"/>
          <w:szCs w:val="32"/>
        </w:rPr>
        <w:t>2016年会议费支出为8.43万元，比上年增加0.25万元，增幅为3%。 增加原因为扶贫工作的开展。</w:t>
      </w:r>
    </w:p>
    <w:p>
      <w:pPr>
        <w:pStyle w:val="4"/>
        <w:widowControl/>
        <w:shd w:val="clear" w:color="auto" w:fill="FFFFFF"/>
        <w:adjustRightInd w:val="0"/>
        <w:spacing w:before="100" w:after="100"/>
        <w:ind w:firstLine="480" w:firstLineChars="150"/>
        <w:contextualSpacing/>
        <w:rPr>
          <w:rFonts w:ascii="仿宋" w:hAnsi="仿宋" w:eastAsia="仿宋" w:cs="仿宋_GB2312"/>
          <w:sz w:val="32"/>
          <w:szCs w:val="32"/>
        </w:rPr>
      </w:pPr>
      <w:r>
        <w:rPr>
          <w:rFonts w:hint="eastAsia" w:ascii="仿宋" w:hAnsi="仿宋" w:eastAsia="仿宋" w:cs="仿宋_GB2312"/>
          <w:sz w:val="32"/>
          <w:szCs w:val="32"/>
        </w:rPr>
        <w:t>（二）培训费支出情况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2017年培训费支出为1.5万元，2016年培训费支出为1.42万元，较上年增加0.08万元，增幅为5.6%，主要是专项培训增加。</w:t>
      </w:r>
    </w:p>
    <w:p>
      <w:pPr>
        <w:numPr>
          <w:ilvl w:val="0"/>
          <w:numId w:val="12"/>
        </w:num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机关运行经费情况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 xml:space="preserve"> 2017年机关运行经费支出26万元，2016年机关运行经费支出68.66万元，较上年减少42.66万元，减幅为62.13%。因车辆运行等日常运转费用减少。</w:t>
      </w:r>
    </w:p>
    <w:p>
      <w:pPr>
        <w:numPr>
          <w:ilvl w:val="0"/>
          <w:numId w:val="12"/>
        </w:num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政府采购情况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2017及2016年我镇均不存在政府采购情况。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（五）国有资产占用情况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截止2017年12月31日，本部门共有车辆1辆，其中一般公务用车1辆。</w:t>
      </w:r>
    </w:p>
    <w:p>
      <w:pPr>
        <w:pStyle w:val="4"/>
        <w:widowControl/>
        <w:shd w:val="clear" w:color="auto" w:fill="F8F8F8"/>
        <w:spacing w:before="100" w:after="100"/>
        <w:ind w:firstLine="707" w:firstLineChars="221"/>
        <w:contextualSpacing/>
        <w:rPr>
          <w:rFonts w:ascii="仿宋" w:hAnsi="仿宋" w:eastAsia="仿宋" w:cs="仿宋_GB2312"/>
          <w:sz w:val="32"/>
          <w:szCs w:val="32"/>
        </w:rPr>
      </w:pPr>
      <w:r>
        <w:rPr>
          <w:rFonts w:ascii="仿宋" w:hAnsi="仿宋" w:eastAsia="仿宋" w:cs="仿宋_GB2312"/>
          <w:sz w:val="32"/>
          <w:szCs w:val="32"/>
        </w:rPr>
        <w:t>2017年末</w:t>
      </w:r>
      <w:r>
        <w:rPr>
          <w:rFonts w:hint="eastAsia" w:ascii="仿宋" w:hAnsi="仿宋" w:eastAsia="仿宋" w:cs="仿宋_GB2312"/>
          <w:sz w:val="32"/>
          <w:szCs w:val="32"/>
        </w:rPr>
        <w:t>单位</w:t>
      </w:r>
      <w:r>
        <w:rPr>
          <w:rFonts w:ascii="仿宋" w:hAnsi="仿宋" w:eastAsia="仿宋" w:cs="仿宋_GB2312"/>
          <w:sz w:val="32"/>
          <w:szCs w:val="32"/>
        </w:rPr>
        <w:t>资产</w:t>
      </w:r>
      <w:r>
        <w:rPr>
          <w:rFonts w:hint="eastAsia" w:ascii="仿宋" w:hAnsi="仿宋" w:eastAsia="仿宋" w:cs="仿宋_GB2312"/>
          <w:sz w:val="32"/>
          <w:szCs w:val="32"/>
        </w:rPr>
        <w:t>197.73万</w:t>
      </w:r>
      <w:r>
        <w:rPr>
          <w:rFonts w:ascii="仿宋" w:hAnsi="仿宋" w:eastAsia="仿宋" w:cs="仿宋_GB2312"/>
          <w:sz w:val="32"/>
          <w:szCs w:val="32"/>
        </w:rPr>
        <w:t>元、201</w:t>
      </w:r>
      <w:r>
        <w:rPr>
          <w:rFonts w:hint="eastAsia" w:ascii="仿宋" w:hAnsi="仿宋" w:eastAsia="仿宋" w:cs="仿宋_GB2312"/>
          <w:sz w:val="32"/>
          <w:szCs w:val="32"/>
        </w:rPr>
        <w:t>6</w:t>
      </w:r>
      <w:r>
        <w:rPr>
          <w:rFonts w:ascii="仿宋" w:hAnsi="仿宋" w:eastAsia="仿宋" w:cs="仿宋_GB2312"/>
          <w:sz w:val="32"/>
          <w:szCs w:val="32"/>
        </w:rPr>
        <w:t>年末</w:t>
      </w:r>
      <w:r>
        <w:rPr>
          <w:rFonts w:hint="eastAsia" w:ascii="仿宋" w:hAnsi="仿宋" w:eastAsia="仿宋" w:cs="仿宋_GB2312"/>
          <w:sz w:val="32"/>
          <w:szCs w:val="32"/>
        </w:rPr>
        <w:t>单位</w:t>
      </w:r>
      <w:r>
        <w:rPr>
          <w:rFonts w:ascii="仿宋" w:hAnsi="仿宋" w:eastAsia="仿宋" w:cs="仿宋_GB2312"/>
          <w:sz w:val="32"/>
          <w:szCs w:val="32"/>
        </w:rPr>
        <w:t>资产</w:t>
      </w:r>
      <w:r>
        <w:rPr>
          <w:rFonts w:hint="eastAsia" w:ascii="仿宋" w:hAnsi="仿宋" w:eastAsia="仿宋" w:cs="仿宋_GB2312"/>
          <w:sz w:val="32"/>
          <w:szCs w:val="32"/>
        </w:rPr>
        <w:t>123.67万</w:t>
      </w:r>
      <w:r>
        <w:rPr>
          <w:rFonts w:ascii="仿宋" w:hAnsi="仿宋" w:eastAsia="仿宋" w:cs="仿宋_GB2312"/>
          <w:sz w:val="32"/>
          <w:szCs w:val="32"/>
        </w:rPr>
        <w:t>元,比上年</w:t>
      </w:r>
      <w:r>
        <w:rPr>
          <w:rFonts w:hint="eastAsia" w:ascii="仿宋" w:hAnsi="仿宋" w:eastAsia="仿宋" w:cs="仿宋_GB2312"/>
          <w:sz w:val="32"/>
          <w:szCs w:val="32"/>
        </w:rPr>
        <w:t>增加60</w:t>
      </w:r>
      <w:r>
        <w:rPr>
          <w:rFonts w:ascii="仿宋" w:hAnsi="仿宋" w:eastAsia="仿宋" w:cs="仿宋_GB2312"/>
          <w:sz w:val="32"/>
          <w:szCs w:val="32"/>
        </w:rPr>
        <w:t>％。</w:t>
      </w:r>
      <w:r>
        <w:rPr>
          <w:rFonts w:hint="eastAsia" w:ascii="仿宋" w:hAnsi="仿宋" w:eastAsia="仿宋" w:cs="仿宋_GB2312"/>
          <w:sz w:val="32"/>
          <w:szCs w:val="32"/>
        </w:rPr>
        <w:t>年末资产中，流动资产4.6万元，固定资产193.1万元。固定资产中，房屋92.26万元、车辆9.7万元、其他固定资产91.15万元（主要为通用设备、专用设备、办公家具及用具装具等）。</w:t>
      </w:r>
    </w:p>
    <w:p>
      <w:pPr>
        <w:numPr>
          <w:ilvl w:val="0"/>
          <w:numId w:val="13"/>
        </w:num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资产负债情况</w:t>
      </w:r>
    </w:p>
    <w:p>
      <w:pPr>
        <w:adjustRightInd w:val="0"/>
        <w:spacing w:before="100" w:beforeAutospacing="1" w:after="100" w:afterAutospacing="1"/>
        <w:ind w:firstLine="707" w:firstLineChars="221"/>
        <w:contextualSpacing/>
        <w:rPr>
          <w:rFonts w:ascii="仿宋" w:hAnsi="仿宋" w:eastAsia="仿宋" w:cs="仿宋_GB2312"/>
          <w:sz w:val="32"/>
          <w:szCs w:val="32"/>
        </w:rPr>
      </w:pPr>
      <w:r>
        <w:rPr>
          <w:rFonts w:hint="eastAsia" w:ascii="仿宋" w:hAnsi="仿宋" w:eastAsia="仿宋" w:cs="仿宋_GB2312"/>
          <w:sz w:val="32"/>
          <w:szCs w:val="32"/>
        </w:rPr>
        <w:t xml:space="preserve"> 1、资产负债结构情况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 xml:space="preserve"> 2017年，我镇机关总资产为</w:t>
      </w:r>
      <w:r>
        <w:rPr>
          <w:rFonts w:hint="eastAsia" w:ascii="仿宋" w:hAnsi="仿宋" w:eastAsia="仿宋" w:cs="鐎瑰缍�"/>
          <w:color w:val="000000"/>
          <w:sz w:val="27"/>
          <w:szCs w:val="27"/>
          <w:shd w:val="clear" w:color="auto" w:fill="F8F8F8"/>
        </w:rPr>
        <w:t>197.73</w:t>
      </w:r>
      <w:r>
        <w:rPr>
          <w:rFonts w:hint="eastAsia" w:ascii="仿宋" w:hAnsi="仿宋" w:eastAsia="仿宋" w:cs="仿宋_GB2312"/>
          <w:sz w:val="32"/>
          <w:szCs w:val="32"/>
        </w:rPr>
        <w:t>万元，总负债0万元，净资产为</w:t>
      </w:r>
      <w:r>
        <w:rPr>
          <w:rFonts w:hint="eastAsia" w:ascii="仿宋" w:hAnsi="仿宋" w:eastAsia="仿宋" w:cs="鐎瑰缍�"/>
          <w:color w:val="000000"/>
          <w:sz w:val="27"/>
          <w:szCs w:val="27"/>
          <w:shd w:val="clear" w:color="auto" w:fill="F8F8F8"/>
        </w:rPr>
        <w:t>197.73</w:t>
      </w:r>
      <w:r>
        <w:rPr>
          <w:rFonts w:hint="eastAsia" w:ascii="仿宋" w:hAnsi="仿宋" w:eastAsia="仿宋" w:cs="仿宋_GB2312"/>
          <w:sz w:val="32"/>
          <w:szCs w:val="32"/>
        </w:rPr>
        <w:t>万元。较上年相比，资产增加74.06万元， 增幅为60%，原因是固定资产的增加；负债为0万元。</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 xml:space="preserve"> 2、资产负债情况分析</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2017年，我镇机关总资产为</w:t>
      </w:r>
      <w:r>
        <w:rPr>
          <w:rFonts w:hint="eastAsia" w:ascii="仿宋" w:hAnsi="仿宋" w:eastAsia="仿宋" w:cs="鐎瑰缍�"/>
          <w:color w:val="000000"/>
          <w:sz w:val="27"/>
          <w:szCs w:val="27"/>
          <w:shd w:val="clear" w:color="auto" w:fill="F8F8F8"/>
        </w:rPr>
        <w:t>197.73</w:t>
      </w:r>
      <w:r>
        <w:rPr>
          <w:rFonts w:hint="eastAsia" w:ascii="仿宋" w:hAnsi="仿宋" w:eastAsia="仿宋" w:cs="仿宋_GB2312"/>
          <w:sz w:val="32"/>
          <w:szCs w:val="32"/>
        </w:rPr>
        <w:t>万元，总负债0万元，净资产为</w:t>
      </w:r>
      <w:r>
        <w:rPr>
          <w:rFonts w:hint="eastAsia" w:ascii="仿宋" w:hAnsi="仿宋" w:eastAsia="仿宋" w:cs="鐎瑰缍�"/>
          <w:color w:val="000000"/>
          <w:sz w:val="27"/>
          <w:szCs w:val="27"/>
          <w:shd w:val="clear" w:color="auto" w:fill="F8F8F8"/>
        </w:rPr>
        <w:t>197.73</w:t>
      </w:r>
      <w:r>
        <w:rPr>
          <w:rFonts w:hint="eastAsia" w:ascii="仿宋" w:hAnsi="仿宋" w:eastAsia="仿宋" w:cs="仿宋_GB2312"/>
          <w:sz w:val="32"/>
          <w:szCs w:val="32"/>
        </w:rPr>
        <w:t>万元。较上年相比，资产增加74.06万元， 增幅为60%，原因是固定资产的增加；负债为0万元。</w:t>
      </w:r>
    </w:p>
    <w:p>
      <w:pPr>
        <w:numPr>
          <w:ilvl w:val="0"/>
          <w:numId w:val="14"/>
        </w:numPr>
        <w:adjustRightInd w:val="0"/>
        <w:spacing w:before="100" w:beforeAutospacing="1" w:after="100" w:afterAutospacing="1"/>
        <w:ind w:firstLine="640" w:firstLineChars="200"/>
        <w:contextualSpacing/>
        <w:rPr>
          <w:rFonts w:ascii="仿宋" w:hAnsi="仿宋" w:eastAsia="仿宋" w:cs="新宋体"/>
          <w:sz w:val="32"/>
          <w:szCs w:val="32"/>
        </w:rPr>
      </w:pPr>
      <w:r>
        <w:rPr>
          <w:rFonts w:hint="eastAsia" w:ascii="仿宋" w:hAnsi="仿宋" w:eastAsia="仿宋" w:cs="新宋体"/>
          <w:sz w:val="32"/>
          <w:szCs w:val="32"/>
        </w:rPr>
        <w:t>其他需要说明的问题</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我单位不涉及《政府性基金预算财政拨款收入支出决算表》 和《国有资本经营预算财政拨款收入支出决算表》，因此均为空表。</w:t>
      </w:r>
    </w:p>
    <w:p>
      <w:pPr>
        <w:widowControl/>
        <w:jc w:val="left"/>
        <w:rPr>
          <w:rFonts w:ascii="仿宋" w:hAnsi="仿宋" w:eastAsia="仿宋" w:cstheme="majorEastAsia"/>
          <w:b/>
          <w:bCs/>
          <w:sz w:val="32"/>
          <w:szCs w:val="32"/>
        </w:rPr>
      </w:pPr>
      <w:r>
        <w:rPr>
          <w:rFonts w:ascii="仿宋" w:hAnsi="仿宋" w:eastAsia="仿宋" w:cstheme="majorEastAsia"/>
          <w:b/>
          <w:bCs/>
          <w:sz w:val="32"/>
          <w:szCs w:val="32"/>
        </w:rPr>
        <w:br w:type="page"/>
      </w:r>
    </w:p>
    <w:p>
      <w:pPr>
        <w:adjustRightInd w:val="0"/>
        <w:snapToGrid w:val="0"/>
        <w:spacing w:line="360" w:lineRule="auto"/>
        <w:jc w:val="center"/>
        <w:rPr>
          <w:rFonts w:ascii="仿宋" w:hAnsi="仿宋" w:eastAsia="仿宋" w:cstheme="majorEastAsia"/>
          <w:b/>
          <w:bCs/>
          <w:sz w:val="32"/>
          <w:szCs w:val="32"/>
        </w:rPr>
      </w:pPr>
      <w:r>
        <w:rPr>
          <w:rFonts w:hint="eastAsia" w:ascii="仿宋" w:hAnsi="仿宋" w:eastAsia="仿宋" w:cstheme="majorEastAsia"/>
          <w:b/>
          <w:bCs/>
          <w:sz w:val="32"/>
          <w:szCs w:val="32"/>
        </w:rPr>
        <w:t>第四部分  名词解释</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财政拨款收入：本年度从本级财政部门取得的财政拨款，包括一般公共预算财政拨款和政府性基金预算财政拨款。 </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事业收入：指事业单位开展专业业务活动及辅助活动所 取得的收入。</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其他收入：指除上述“财政拨款收入”、“事业收入”、 “经营收入”等以外的收入。</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用事业基金弥补收支差额：指事业单位在用当年的“财 政拨款收入”、“财政拨款结转和结余资金”、“事业收入”、“经营收入”、“其他收入”不足以安排当年支出的情况下，使用以前年 度积累的事业基金（事业单位当年收支相抵后按国家规定提取、用于弥补以后年度收支差额的基金）弥补本年度收支缺口的资金。</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年初结转和结余：指以前年度尚未完成、结转到本年仍 按原规定用途继续使用的资金，或项目已完成等产生的结余资金。</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结余分配：指事业单位按照事业单位会计制度的规定从 非财政补助结余中分配的事业基金和职工福利基金等。</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年末结转和结余：指单位按有关规定结转到下年或以后 年度继续使用的资金，或项目已完成等产生的结余资金。</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八、基本支出：填列单位为保障机构正常运转、完成日常工 作任务而发生的各项支出。</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九、项目支出：填列单位为完成特定的行政工作任务或事业 发展目标，在基本支出之外发生的各项支出。</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十、基本建设支出：填列由本级发展与改革部门集中安排的 用于购置固定资产、战略性和应急性储备、土地和无形资产，以及购建基础设施、大型修缮所发生的一般公共预算财政拨款支出，不包括政府性基金、财政专户管理资金以及各类拼盘自筹资金等。</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十一、其他资本性支出：填列由各级非发展与改革部门集中 安排的用于购置固定资产、战备性和应急性储备、土地和无形资产，以及购建基础设施、大型修缮和财政支持企业更新改造所发 生的支出。</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十二、“三公”经费：指部门用财政拨款安排的因公出国（境） 费、公务用车购置及运行费和公务接待费。其中，因公出国（境） 费反映单位公务出国（境）的国际旅费、国外城市间交通费、住宿费、伙食费、培训费、公杂费等支出；公务用车购置及运行费 反映单位公务用车购置支出（含车辆购置税）及租用费、燃料费、维修费、过路过桥费、保险费、安全奖励费用等支出；公务接待 费反映单位按规定开支的各类公务接待（含外宾接待）支出。</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十三、其他交通费用：填列单位除公务用车运行维护费以外 的其他交通费用。如飞机、船舶等的燃料费、维修费、过桥过路 38 费、保险费、出租车费用、公务交通补贴等。</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十四、公务用车购置：填列单位公务用车车辆购置支出（含 车辆购置税）。</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十五、其他交通工具购置：填列单位除公务用车外的其他各 类交通工具（如船舶、飞机）购置支出（含车辆购置税）。</w:t>
      </w:r>
    </w:p>
    <w:p>
      <w:pPr>
        <w:adjustRightInd w:val="0"/>
        <w:snapToGrid w:val="0"/>
        <w:spacing w:line="360" w:lineRule="auto"/>
        <w:ind w:firstLine="640" w:firstLineChars="200"/>
        <w:rPr>
          <w:rFonts w:ascii="仿宋" w:hAnsi="仿宋" w:eastAsia="仿宋" w:cs="仿宋_GB2312"/>
          <w:b/>
          <w:bCs/>
          <w:sz w:val="32"/>
          <w:szCs w:val="32"/>
        </w:rPr>
      </w:pPr>
      <w:r>
        <w:rPr>
          <w:rFonts w:hint="eastAsia" w:ascii="仿宋" w:hAnsi="仿宋" w:eastAsia="仿宋" w:cs="仿宋_GB2312"/>
          <w:sz w:val="32"/>
          <w:szCs w:val="32"/>
        </w:rPr>
        <w:t>十六、机关运行经费：指为保障行政单位（包括参照公务员 法管理的事业单位）运行用于购买货物和服务的各项资金，包括 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roman"/>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鐎瑰缍�">
    <w:altName w:val="Courier New"/>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1D1E"/>
    <w:multiLevelType w:val="multilevel"/>
    <w:tmpl w:val="43E01D1E"/>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37F720A"/>
    <w:multiLevelType w:val="multilevel"/>
    <w:tmpl w:val="537F720A"/>
    <w:lvl w:ilvl="0" w:tentative="0">
      <w:start w:val="1"/>
      <w:numFmt w:val="decimal"/>
      <w:lvlText w:val="%1、"/>
      <w:lvlJc w:val="left"/>
      <w:pPr>
        <w:ind w:left="1047" w:hanging="4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2">
    <w:nsid w:val="5B6A6249"/>
    <w:multiLevelType w:val="singleLevel"/>
    <w:tmpl w:val="5B6A6249"/>
    <w:lvl w:ilvl="0" w:tentative="0">
      <w:start w:val="1"/>
      <w:numFmt w:val="chineseCounting"/>
      <w:suff w:val="nothing"/>
      <w:lvlText w:val="%1、"/>
      <w:lvlJc w:val="left"/>
    </w:lvl>
  </w:abstractNum>
  <w:abstractNum w:abstractNumId="3">
    <w:nsid w:val="5B6BA373"/>
    <w:multiLevelType w:val="singleLevel"/>
    <w:tmpl w:val="5B6BA373"/>
    <w:lvl w:ilvl="0" w:tentative="0">
      <w:start w:val="1"/>
      <w:numFmt w:val="chineseCounting"/>
      <w:suff w:val="nothing"/>
      <w:lvlText w:val="%1、"/>
      <w:lvlJc w:val="left"/>
    </w:lvl>
  </w:abstractNum>
  <w:abstractNum w:abstractNumId="4">
    <w:nsid w:val="5B6BA656"/>
    <w:multiLevelType w:val="singleLevel"/>
    <w:tmpl w:val="5B6BA656"/>
    <w:lvl w:ilvl="0" w:tentative="0">
      <w:start w:val="1"/>
      <w:numFmt w:val="chineseCounting"/>
      <w:suff w:val="nothing"/>
      <w:lvlText w:val="%1、"/>
      <w:lvlJc w:val="left"/>
    </w:lvl>
  </w:abstractNum>
  <w:abstractNum w:abstractNumId="5">
    <w:nsid w:val="5B6BFCFC"/>
    <w:multiLevelType w:val="singleLevel"/>
    <w:tmpl w:val="5B6BFCFC"/>
    <w:lvl w:ilvl="0" w:tentative="0">
      <w:start w:val="2"/>
      <w:numFmt w:val="chineseCounting"/>
      <w:suff w:val="nothing"/>
      <w:lvlText w:val="（%1）"/>
      <w:lvlJc w:val="left"/>
    </w:lvl>
  </w:abstractNum>
  <w:abstractNum w:abstractNumId="6">
    <w:nsid w:val="5B6C0502"/>
    <w:multiLevelType w:val="singleLevel"/>
    <w:tmpl w:val="5B6C0502"/>
    <w:lvl w:ilvl="0" w:tentative="0">
      <w:start w:val="5"/>
      <w:numFmt w:val="chineseCounting"/>
      <w:suff w:val="nothing"/>
      <w:lvlText w:val="%1、"/>
      <w:lvlJc w:val="left"/>
    </w:lvl>
  </w:abstractNum>
  <w:abstractNum w:abstractNumId="7">
    <w:nsid w:val="5B6C06EC"/>
    <w:multiLevelType w:val="singleLevel"/>
    <w:tmpl w:val="5B6C06EC"/>
    <w:lvl w:ilvl="0" w:tentative="0">
      <w:start w:val="1"/>
      <w:numFmt w:val="chineseCounting"/>
      <w:suff w:val="nothing"/>
      <w:lvlText w:val="（%1）"/>
      <w:lvlJc w:val="left"/>
    </w:lvl>
  </w:abstractNum>
  <w:abstractNum w:abstractNumId="8">
    <w:nsid w:val="5B6C0C78"/>
    <w:multiLevelType w:val="singleLevel"/>
    <w:tmpl w:val="5B6C0C78"/>
    <w:lvl w:ilvl="0" w:tentative="0">
      <w:start w:val="6"/>
      <w:numFmt w:val="chineseCounting"/>
      <w:suff w:val="nothing"/>
      <w:lvlText w:val="%1、"/>
      <w:lvlJc w:val="left"/>
    </w:lvl>
  </w:abstractNum>
  <w:abstractNum w:abstractNumId="9">
    <w:nsid w:val="5B6C0F20"/>
    <w:multiLevelType w:val="singleLevel"/>
    <w:tmpl w:val="5B6C0F20"/>
    <w:lvl w:ilvl="0" w:tentative="0">
      <w:start w:val="2"/>
      <w:numFmt w:val="chineseCounting"/>
      <w:suff w:val="nothing"/>
      <w:lvlText w:val="（%1）"/>
      <w:lvlJc w:val="left"/>
    </w:lvl>
  </w:abstractNum>
  <w:abstractNum w:abstractNumId="10">
    <w:nsid w:val="5B6C0FA3"/>
    <w:multiLevelType w:val="singleLevel"/>
    <w:tmpl w:val="5B6C0FA3"/>
    <w:lvl w:ilvl="0" w:tentative="0">
      <w:start w:val="1"/>
      <w:numFmt w:val="decimal"/>
      <w:suff w:val="nothing"/>
      <w:lvlText w:val="%1、"/>
      <w:lvlJc w:val="left"/>
    </w:lvl>
  </w:abstractNum>
  <w:abstractNum w:abstractNumId="11">
    <w:nsid w:val="5B6C198B"/>
    <w:multiLevelType w:val="singleLevel"/>
    <w:tmpl w:val="5B6C198B"/>
    <w:lvl w:ilvl="0" w:tentative="0">
      <w:start w:val="3"/>
      <w:numFmt w:val="chineseCounting"/>
      <w:suff w:val="nothing"/>
      <w:lvlText w:val="（%1）"/>
      <w:lvlJc w:val="left"/>
    </w:lvl>
  </w:abstractNum>
  <w:abstractNum w:abstractNumId="12">
    <w:nsid w:val="5B6C1E0D"/>
    <w:multiLevelType w:val="singleLevel"/>
    <w:tmpl w:val="5B6C1E0D"/>
    <w:lvl w:ilvl="0" w:tentative="0">
      <w:start w:val="6"/>
      <w:numFmt w:val="chineseCounting"/>
      <w:suff w:val="nothing"/>
      <w:lvlText w:val="（%1）"/>
      <w:lvlJc w:val="left"/>
    </w:lvl>
  </w:abstractNum>
  <w:abstractNum w:abstractNumId="13">
    <w:nsid w:val="5B6C23F3"/>
    <w:multiLevelType w:val="singleLevel"/>
    <w:tmpl w:val="5B6C23F3"/>
    <w:lvl w:ilvl="0" w:tentative="0">
      <w:start w:val="8"/>
      <w:numFmt w:val="chineseCounting"/>
      <w:suff w:val="nothing"/>
      <w:lvlText w:val="%1、"/>
      <w:lvlJc w:val="left"/>
    </w:lvl>
  </w:abstractNum>
  <w:abstractNum w:abstractNumId="14">
    <w:nsid w:val="5B6C24C3"/>
    <w:multiLevelType w:val="singleLevel"/>
    <w:tmpl w:val="5B6C24C3"/>
    <w:lvl w:ilvl="0" w:tentative="0">
      <w:start w:val="1"/>
      <w:numFmt w:val="chineseCounting"/>
      <w:suff w:val="nothing"/>
      <w:lvlText w:val="%1、"/>
      <w:lvlJc w:val="left"/>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54356"/>
    <w:rsid w:val="00040321"/>
    <w:rsid w:val="00042BAF"/>
    <w:rsid w:val="001A6ABF"/>
    <w:rsid w:val="002052C8"/>
    <w:rsid w:val="002126F4"/>
    <w:rsid w:val="00346DA4"/>
    <w:rsid w:val="00497180"/>
    <w:rsid w:val="004D419B"/>
    <w:rsid w:val="004F4D48"/>
    <w:rsid w:val="00510362"/>
    <w:rsid w:val="00537010"/>
    <w:rsid w:val="005E3B85"/>
    <w:rsid w:val="00630658"/>
    <w:rsid w:val="00680587"/>
    <w:rsid w:val="0071153B"/>
    <w:rsid w:val="00767673"/>
    <w:rsid w:val="007B68E3"/>
    <w:rsid w:val="008105BC"/>
    <w:rsid w:val="00814DE7"/>
    <w:rsid w:val="00867080"/>
    <w:rsid w:val="00887C1B"/>
    <w:rsid w:val="009043F1"/>
    <w:rsid w:val="009F07AE"/>
    <w:rsid w:val="00A61565"/>
    <w:rsid w:val="00AF584D"/>
    <w:rsid w:val="00B97E46"/>
    <w:rsid w:val="00BD2E22"/>
    <w:rsid w:val="00BE49DF"/>
    <w:rsid w:val="00C63EFA"/>
    <w:rsid w:val="00CD38AC"/>
    <w:rsid w:val="00CF33E9"/>
    <w:rsid w:val="00D3073F"/>
    <w:rsid w:val="00D4471C"/>
    <w:rsid w:val="00D63F4B"/>
    <w:rsid w:val="00D877B8"/>
    <w:rsid w:val="00DA325E"/>
    <w:rsid w:val="00E3005A"/>
    <w:rsid w:val="00E420CF"/>
    <w:rsid w:val="00E57EC6"/>
    <w:rsid w:val="00E85925"/>
    <w:rsid w:val="00EE5BAE"/>
    <w:rsid w:val="00F4088E"/>
    <w:rsid w:val="00F41111"/>
    <w:rsid w:val="00F7378D"/>
    <w:rsid w:val="00F92377"/>
    <w:rsid w:val="00FA6BAE"/>
    <w:rsid w:val="018F6D8B"/>
    <w:rsid w:val="06194023"/>
    <w:rsid w:val="063A7ED7"/>
    <w:rsid w:val="066D430C"/>
    <w:rsid w:val="08FF1A13"/>
    <w:rsid w:val="0AE74A9E"/>
    <w:rsid w:val="0B3C60D7"/>
    <w:rsid w:val="0B8F41AA"/>
    <w:rsid w:val="0EF83D82"/>
    <w:rsid w:val="1055396C"/>
    <w:rsid w:val="13FA6BA0"/>
    <w:rsid w:val="154C251B"/>
    <w:rsid w:val="16A05755"/>
    <w:rsid w:val="175354F6"/>
    <w:rsid w:val="178D0DA6"/>
    <w:rsid w:val="1AAA4A96"/>
    <w:rsid w:val="1AAC0579"/>
    <w:rsid w:val="1B1B50D8"/>
    <w:rsid w:val="1B8703E5"/>
    <w:rsid w:val="242B68BD"/>
    <w:rsid w:val="249F7974"/>
    <w:rsid w:val="24D90E0E"/>
    <w:rsid w:val="27566061"/>
    <w:rsid w:val="288B507C"/>
    <w:rsid w:val="2C844552"/>
    <w:rsid w:val="2F0B693F"/>
    <w:rsid w:val="307A4D17"/>
    <w:rsid w:val="317E0ED1"/>
    <w:rsid w:val="34C54356"/>
    <w:rsid w:val="370F2025"/>
    <w:rsid w:val="37B4371B"/>
    <w:rsid w:val="38555E14"/>
    <w:rsid w:val="38667CBA"/>
    <w:rsid w:val="3A8158CC"/>
    <w:rsid w:val="3DAC4792"/>
    <w:rsid w:val="3F6841AE"/>
    <w:rsid w:val="3FE7363B"/>
    <w:rsid w:val="42C678B3"/>
    <w:rsid w:val="43895888"/>
    <w:rsid w:val="46235E03"/>
    <w:rsid w:val="4A03128D"/>
    <w:rsid w:val="4A6064BB"/>
    <w:rsid w:val="4E370D57"/>
    <w:rsid w:val="4E9D5EAE"/>
    <w:rsid w:val="4ECB12F4"/>
    <w:rsid w:val="500C3DD8"/>
    <w:rsid w:val="53FD7EB4"/>
    <w:rsid w:val="54F769C8"/>
    <w:rsid w:val="55425CF0"/>
    <w:rsid w:val="58BB7975"/>
    <w:rsid w:val="5B58496B"/>
    <w:rsid w:val="5B60124B"/>
    <w:rsid w:val="5CEE2916"/>
    <w:rsid w:val="5DBA3224"/>
    <w:rsid w:val="5EF30C67"/>
    <w:rsid w:val="5FB24942"/>
    <w:rsid w:val="61287A15"/>
    <w:rsid w:val="66061FD6"/>
    <w:rsid w:val="69156D2A"/>
    <w:rsid w:val="6C020FDF"/>
    <w:rsid w:val="707740EF"/>
    <w:rsid w:val="731D0281"/>
    <w:rsid w:val="776C1C90"/>
    <w:rsid w:val="799D6C33"/>
    <w:rsid w:val="7BB02EA5"/>
    <w:rsid w:val="7F3F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5"/>
    <w:link w:val="3"/>
    <w:uiPriority w:val="0"/>
    <w:rPr>
      <w:rFonts w:asciiTheme="minorHAnsi" w:hAnsiTheme="minorHAnsi" w:eastAsiaTheme="minorEastAsia" w:cstheme="minorBidi"/>
      <w:kern w:val="2"/>
      <w:sz w:val="18"/>
      <w:szCs w:val="18"/>
    </w:rPr>
  </w:style>
  <w:style w:type="character" w:customStyle="1" w:styleId="11">
    <w:name w:val="页脚 字符"/>
    <w:basedOn w:val="5"/>
    <w:link w:val="2"/>
    <w:uiPriority w:val="0"/>
    <w:rPr>
      <w:rFonts w:asciiTheme="minorHAnsi" w:hAnsiTheme="minorHAnsi" w:eastAsiaTheme="minorEastAsia" w:cstheme="minorBidi"/>
      <w:kern w:val="2"/>
      <w:sz w:val="18"/>
      <w:szCs w:val="18"/>
    </w:rPr>
  </w:style>
  <w:style w:type="paragraph" w:customStyle="1" w:styleId="12">
    <w:name w:val="List Paragraph"/>
    <w:basedOn w:val="1"/>
    <w:qFormat/>
    <w:uiPriority w:val="99"/>
    <w:pPr>
      <w:ind w:firstLine="420" w:firstLineChars="200"/>
    </w:pPr>
  </w:style>
  <w:style w:type="paragraph" w:customStyle="1" w:styleId="13">
    <w:name w:val="_Style 23"/>
    <w:basedOn w:val="1"/>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9D934-8141-43BD-A8D9-7AF61AC658F9}">
  <ds:schemaRefs/>
</ds:datastoreItem>
</file>

<file path=docProps/app.xml><?xml version="1.0" encoding="utf-8"?>
<Properties xmlns="http://schemas.openxmlformats.org/officeDocument/2006/extended-properties" xmlns:vt="http://schemas.openxmlformats.org/officeDocument/2006/docPropsVTypes">
  <Template>Normal</Template>
  <Pages>1</Pages>
  <Words>3194</Words>
  <Characters>18210</Characters>
  <Lines>151</Lines>
  <Paragraphs>42</Paragraphs>
  <TotalTime>0</TotalTime>
  <ScaleCrop>false</ScaleCrop>
  <LinksUpToDate>false</LinksUpToDate>
  <CharactersWithSpaces>21362</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2018-08-08T00:21:00Z</dcterms:created>
  <dc:creator>ljz</dc:creator>
  <cp:lastModifiedBy>Administrator</cp:lastModifiedBy>
  <dcterms:modified xsi:type="dcterms:W3CDTF">2018-10-26T03:01:07Z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