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  <w:t>201</w:t>
      </w: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7</w:t>
      </w:r>
      <w:r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  <w:t>年度</w:t>
      </w: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</w:pP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hAnsi="宋体" w:cs="宋体"/>
          <w:b/>
          <w:color w:val="000000"/>
          <w:sz w:val="52"/>
          <w:szCs w:val="52"/>
        </w:rPr>
      </w:pPr>
      <w:r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  <w:t>部门决算</w:t>
      </w: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 w:rsidR="00BA23E0" w:rsidRDefault="00961261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南宫市文物保管所</w:t>
      </w: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2018年10月</w:t>
      </w:r>
    </w:p>
    <w:p w:rsidR="00BA23E0" w:rsidRDefault="00BA23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BA23E0" w:rsidRDefault="00BA23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BA23E0" w:rsidRDefault="00BA23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BA23E0" w:rsidRDefault="00BA23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BA23E0" w:rsidRDefault="00FD701A">
      <w:pPr>
        <w:widowControl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BA23E0" w:rsidRDefault="00FD701A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BA23E0" w:rsidRDefault="00AB4937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南宫市文物保管所</w:t>
      </w:r>
      <w:r w:rsidR="00FD701A">
        <w:rPr>
          <w:rFonts w:eastAsia="黑体" w:cs="宋体" w:hint="eastAsia"/>
          <w:kern w:val="0"/>
          <w:sz w:val="32"/>
          <w:szCs w:val="32"/>
        </w:rPr>
        <w:t>部门概况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（一）主要职能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（二）部门组成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二、</w:t>
      </w:r>
      <w:r w:rsidR="00AB4937">
        <w:rPr>
          <w:rFonts w:eastAsia="黑体" w:hint="eastAsia"/>
          <w:kern w:val="0"/>
          <w:sz w:val="32"/>
          <w:szCs w:val="32"/>
        </w:rPr>
        <w:t>南宫市文物保管所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</w:t>
      </w:r>
      <w:r w:rsidR="00B14031" w:rsidRPr="00B14031">
        <w:rPr>
          <w:rFonts w:eastAsia="仿宋_GB2312" w:hAnsi="宋体" w:cs="宋体" w:hint="eastAsia"/>
          <w:kern w:val="0"/>
          <w:sz w:val="32"/>
          <w:szCs w:val="32"/>
        </w:rPr>
        <w:t>收入支出决算总表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</w:t>
      </w:r>
      <w:r w:rsidR="00B14031" w:rsidRPr="00B14031">
        <w:rPr>
          <w:rFonts w:eastAsia="仿宋_GB2312" w:hAnsi="宋体" w:cs="宋体" w:hint="eastAsia"/>
          <w:kern w:val="0"/>
          <w:sz w:val="32"/>
          <w:szCs w:val="32"/>
        </w:rPr>
        <w:t>收入决算表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</w:t>
      </w:r>
      <w:r w:rsidR="00B14031" w:rsidRPr="00B14031">
        <w:rPr>
          <w:rFonts w:eastAsia="仿宋_GB2312" w:hAnsi="宋体" w:cs="宋体" w:hint="eastAsia"/>
          <w:kern w:val="0"/>
          <w:sz w:val="32"/>
          <w:szCs w:val="32"/>
        </w:rPr>
        <w:t>支出决算表</w:t>
      </w:r>
    </w:p>
    <w:p w:rsidR="00B14031" w:rsidRDefault="00FD701A" w:rsidP="00B14031">
      <w:pPr>
        <w:widowControl/>
        <w:spacing w:line="580" w:lineRule="exact"/>
        <w:ind w:firstLine="63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（四）</w:t>
      </w:r>
      <w:r w:rsidR="00B14031" w:rsidRPr="00B14031">
        <w:rPr>
          <w:rFonts w:eastAsia="仿宋_GB2312" w:hAnsi="宋体" w:cs="宋体" w:hint="eastAsia"/>
          <w:kern w:val="0"/>
          <w:sz w:val="32"/>
          <w:szCs w:val="32"/>
        </w:rPr>
        <w:t>财政拨款收入支出决算总表</w:t>
      </w:r>
    </w:p>
    <w:p w:rsidR="00613465" w:rsidRDefault="00FD701A" w:rsidP="00B14031">
      <w:pPr>
        <w:widowControl/>
        <w:spacing w:line="580" w:lineRule="exact"/>
        <w:ind w:firstLine="63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（五）</w:t>
      </w:r>
      <w:r w:rsidR="00B14031" w:rsidRPr="00B14031">
        <w:rPr>
          <w:rFonts w:eastAsia="仿宋_GB2312" w:hAnsi="宋体" w:cs="宋体" w:hint="eastAsia"/>
          <w:kern w:val="0"/>
          <w:sz w:val="32"/>
          <w:szCs w:val="32"/>
        </w:rPr>
        <w:t>一般公共预算财政拨款收入支出决算表</w:t>
      </w: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</w:p>
    <w:p w:rsidR="00BA23E0" w:rsidRDefault="00FD701A" w:rsidP="00B14031">
      <w:pPr>
        <w:widowControl/>
        <w:spacing w:line="580" w:lineRule="exact"/>
        <w:ind w:firstLine="630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（六）</w:t>
      </w:r>
      <w:r w:rsidR="00613465" w:rsidRPr="00613465">
        <w:rPr>
          <w:rFonts w:eastAsia="仿宋_GB2312" w:hAnsi="宋体" w:cs="宋体" w:hint="eastAsia"/>
          <w:kern w:val="0"/>
          <w:sz w:val="32"/>
          <w:szCs w:val="32"/>
        </w:rPr>
        <w:t>一般公共预算财政拨款基本支出决算表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</w:t>
      </w:r>
      <w:r w:rsidR="001E6542" w:rsidRPr="001E6542">
        <w:rPr>
          <w:rFonts w:eastAsia="仿宋_GB2312" w:hAnsi="宋体" w:cs="宋体" w:hint="eastAsia"/>
          <w:kern w:val="0"/>
          <w:sz w:val="32"/>
          <w:szCs w:val="32"/>
        </w:rPr>
        <w:t>政府性基金预算财政拨款收入支出决算表</w:t>
      </w:r>
    </w:p>
    <w:p w:rsidR="001E6542" w:rsidRDefault="00FD701A" w:rsidP="001E6542">
      <w:pPr>
        <w:widowControl/>
        <w:spacing w:line="580" w:lineRule="exact"/>
        <w:ind w:firstLine="63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（八）</w:t>
      </w:r>
      <w:r w:rsidR="001E6542" w:rsidRPr="001E6542">
        <w:rPr>
          <w:rFonts w:eastAsia="仿宋_GB2312" w:hAnsi="宋体" w:cs="宋体" w:hint="eastAsia"/>
          <w:kern w:val="0"/>
          <w:sz w:val="32"/>
          <w:szCs w:val="32"/>
        </w:rPr>
        <w:t>国有资本经营预算财政拨款收入支出决算表</w:t>
      </w:r>
    </w:p>
    <w:p w:rsidR="00BA23E0" w:rsidRDefault="00FD701A" w:rsidP="001E6542">
      <w:pPr>
        <w:widowControl/>
        <w:spacing w:line="580" w:lineRule="exact"/>
        <w:ind w:firstLine="630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（九）</w:t>
      </w:r>
      <w:r w:rsidR="004C4775" w:rsidRPr="004C4775">
        <w:rPr>
          <w:rFonts w:eastAsia="仿宋_GB2312" w:hint="eastAsia"/>
          <w:kern w:val="0"/>
          <w:sz w:val="32"/>
          <w:szCs w:val="32"/>
        </w:rPr>
        <w:t>"</w:t>
      </w:r>
      <w:r w:rsidR="004C4775" w:rsidRPr="004C4775">
        <w:rPr>
          <w:rFonts w:eastAsia="仿宋_GB2312" w:hint="eastAsia"/>
          <w:kern w:val="0"/>
          <w:sz w:val="32"/>
          <w:szCs w:val="32"/>
        </w:rPr>
        <w:t>三公</w:t>
      </w:r>
      <w:r w:rsidR="004C4775" w:rsidRPr="004C4775">
        <w:rPr>
          <w:rFonts w:eastAsia="仿宋_GB2312" w:hint="eastAsia"/>
          <w:kern w:val="0"/>
          <w:sz w:val="32"/>
          <w:szCs w:val="32"/>
        </w:rPr>
        <w:t>"</w:t>
      </w:r>
      <w:r w:rsidR="004C4775" w:rsidRPr="004C4775">
        <w:rPr>
          <w:rFonts w:eastAsia="仿宋_GB2312" w:hint="eastAsia"/>
          <w:kern w:val="0"/>
          <w:sz w:val="32"/>
          <w:szCs w:val="32"/>
        </w:rPr>
        <w:t>经费及相关信息统计表</w:t>
      </w:r>
    </w:p>
    <w:p w:rsidR="00BA23E0" w:rsidRDefault="00FD701A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（十）</w:t>
      </w:r>
      <w:r w:rsidR="004C4775" w:rsidRPr="004C4775">
        <w:rPr>
          <w:rFonts w:eastAsia="仿宋_GB2312" w:hAnsi="宋体" w:cs="宋体" w:hint="eastAsia"/>
          <w:kern w:val="0"/>
          <w:sz w:val="32"/>
          <w:szCs w:val="32"/>
        </w:rPr>
        <w:t>政府采购情况表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三、</w:t>
      </w:r>
      <w:r w:rsidR="00AB4937">
        <w:rPr>
          <w:rFonts w:eastAsia="黑体" w:hint="eastAsia"/>
          <w:kern w:val="0"/>
          <w:sz w:val="32"/>
          <w:szCs w:val="32"/>
        </w:rPr>
        <w:t>南宫市文物保管所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（一）收入支出决算总体情况说明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（二）收入决算情况说明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（三）支出决算情况说明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（四）财政拨款收入支出决算总体情况说明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（六）预算绩效管理工作开展情况说明</w:t>
      </w:r>
    </w:p>
    <w:p w:rsidR="00BA23E0" w:rsidRDefault="00FD701A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（七）其他重要事项的说明</w:t>
      </w:r>
    </w:p>
    <w:p w:rsidR="004347D9" w:rsidRDefault="00FD701A" w:rsidP="004347D9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</w:t>
      </w:r>
      <w:r w:rsidR="00B179B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1、</w:t>
      </w:r>
      <w:r w:rsidR="004347D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会议费支出情况</w:t>
      </w:r>
    </w:p>
    <w:p w:rsidR="004347D9" w:rsidRDefault="004347D9" w:rsidP="004347D9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B179BA">
        <w:rPr>
          <w:rFonts w:ascii="仿宋_GB2312" w:eastAsia="仿宋_GB2312" w:hAnsi="仿宋_GB2312" w:cs="仿宋_GB2312" w:hint="eastAsia"/>
          <w:sz w:val="32"/>
          <w:szCs w:val="32"/>
        </w:rPr>
        <w:t xml:space="preserve"> 2、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培训费支出情况</w:t>
      </w:r>
    </w:p>
    <w:p w:rsidR="004347D9" w:rsidRDefault="00B179BA" w:rsidP="00B179B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4347D9"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4347D9" w:rsidRDefault="004347D9" w:rsidP="00B179BA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B179BA">
        <w:rPr>
          <w:rFonts w:ascii="仿宋_GB2312" w:eastAsia="仿宋_GB2312" w:hAnsi="仿宋_GB2312" w:cs="仿宋_GB2312" w:hint="eastAsia"/>
          <w:sz w:val="32"/>
          <w:szCs w:val="32"/>
        </w:rPr>
        <w:t xml:space="preserve">  4、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4347D9" w:rsidRDefault="00B179BA" w:rsidP="004347D9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="004347D9">
        <w:rPr>
          <w:rFonts w:ascii="仿宋_GB2312" w:eastAsia="仿宋_GB2312" w:hAnsi="仿宋_GB2312" w:cs="仿宋_GB2312" w:hint="eastAsia"/>
          <w:sz w:val="32"/>
          <w:szCs w:val="32"/>
        </w:rPr>
        <w:t>国有资产占用情况</w:t>
      </w:r>
    </w:p>
    <w:p w:rsidR="004347D9" w:rsidRDefault="00B179BA" w:rsidP="00B179B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="004347D9"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4347D9" w:rsidRPr="004347D9" w:rsidRDefault="004347D9" w:rsidP="004347D9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179B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179BA">
        <w:rPr>
          <w:rFonts w:ascii="仿宋_GB2312" w:eastAsia="仿宋_GB2312" w:hAnsi="仿宋_GB2312" w:cs="仿宋_GB2312" w:hint="eastAsia"/>
          <w:sz w:val="32"/>
          <w:szCs w:val="32"/>
        </w:rPr>
        <w:t>7、</w:t>
      </w:r>
      <w:r w:rsidRPr="004347D9">
        <w:rPr>
          <w:rFonts w:ascii="仿宋_GB2312" w:eastAsia="仿宋_GB2312" w:hAnsi="仿宋_GB2312" w:cs="仿宋_GB2312" w:hint="eastAsia"/>
          <w:sz w:val="32"/>
          <w:szCs w:val="32"/>
        </w:rPr>
        <w:t>其他需要说明的问题</w:t>
      </w:r>
    </w:p>
    <w:p w:rsidR="00BA23E0" w:rsidRDefault="004A055F" w:rsidP="004A055F">
      <w:pPr>
        <w:widowControl/>
        <w:spacing w:line="580" w:lineRule="exact"/>
        <w:jc w:val="left"/>
        <w:rPr>
          <w:rStyle w:val="a4"/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eastAsia="黑体" w:cs="宋体" w:hint="eastAsia"/>
          <w:kern w:val="0"/>
          <w:sz w:val="32"/>
          <w:szCs w:val="32"/>
        </w:rPr>
        <w:t>四、</w:t>
      </w:r>
      <w:r>
        <w:rPr>
          <w:rFonts w:eastAsia="黑体" w:hint="eastAsia"/>
          <w:kern w:val="0"/>
          <w:sz w:val="32"/>
          <w:szCs w:val="32"/>
        </w:rPr>
        <w:t>名词解释</w:t>
      </w:r>
      <w:r w:rsidR="004347D9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4A055F" w:rsidRDefault="004A055F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第一部分   部门概况</w:t>
      </w: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 w:val="21"/>
          <w:szCs w:val="21"/>
          <w:shd w:val="clear" w:color="auto" w:fill="FFFFFF"/>
        </w:rPr>
        <w:t xml:space="preserve">　　</w:t>
      </w:r>
    </w:p>
    <w:p w:rsidR="00BA23E0" w:rsidRDefault="00FD701A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主要职能</w:t>
      </w: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8118F4" w:rsidRDefault="008118F4" w:rsidP="008118F4">
      <w:pPr>
        <w:widowControl/>
        <w:spacing w:line="580" w:lineRule="exact"/>
        <w:ind w:firstLineChars="177" w:firstLine="566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、贯彻落实国家、省、市关于文物保护工作的法律、</w:t>
      </w:r>
    </w:p>
    <w:p w:rsidR="008118F4" w:rsidRDefault="008118F4" w:rsidP="008118F4">
      <w:pPr>
        <w:widowControl/>
        <w:spacing w:line="580" w:lineRule="exact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法规和规章制度。</w:t>
      </w:r>
    </w:p>
    <w:p w:rsidR="008118F4" w:rsidRDefault="008118F4" w:rsidP="008118F4">
      <w:pPr>
        <w:widowControl/>
        <w:spacing w:line="580" w:lineRule="exact"/>
        <w:ind w:firstLineChars="177" w:firstLine="566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、负责辖区内的文物收藏保护和管理工作。</w:t>
      </w:r>
    </w:p>
    <w:p w:rsidR="008118F4" w:rsidRDefault="008118F4" w:rsidP="008118F4">
      <w:pPr>
        <w:widowControl/>
        <w:spacing w:line="580" w:lineRule="exact"/>
        <w:ind w:firstLineChars="177" w:firstLine="566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、负责辖区内的文物古迹、历史文化遗址保护区的推荐、公布和县（市）级以上文物保护单位的申报工作。</w:t>
      </w:r>
    </w:p>
    <w:p w:rsidR="008118F4" w:rsidRDefault="008118F4" w:rsidP="008118F4">
      <w:pPr>
        <w:widowControl/>
        <w:spacing w:line="580" w:lineRule="exact"/>
        <w:ind w:firstLineChars="177" w:firstLine="566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、会同有关单位对辖区内涉及的各级文物保护单位、文物遗址点、历史文化遗迹（包括古建筑、当代有代表性建筑、名人故居）、地下文物重点保护区（包括古墓葬）、及其它可能埋藏文物地区的建设项目，进行依法监管和前期考察。</w:t>
      </w:r>
    </w:p>
    <w:p w:rsidR="008118F4" w:rsidRDefault="008118F4" w:rsidP="008118F4">
      <w:pPr>
        <w:widowControl/>
        <w:spacing w:line="580" w:lineRule="exact"/>
        <w:ind w:firstLineChars="177" w:firstLine="566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5</w:t>
      </w:r>
      <w:r>
        <w:rPr>
          <w:rFonts w:eastAsia="仿宋_GB2312" w:hint="eastAsia"/>
          <w:sz w:val="32"/>
        </w:rPr>
        <w:t>、负责辖区内古玩商贩和文物（古玩）收藏爱好者、及古玩市场行业的监管工作。</w:t>
      </w:r>
    </w:p>
    <w:p w:rsidR="008118F4" w:rsidRDefault="008118F4" w:rsidP="008118F4">
      <w:pPr>
        <w:widowControl/>
        <w:spacing w:line="580" w:lineRule="exact"/>
        <w:ind w:firstLineChars="177" w:firstLine="566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6</w:t>
      </w:r>
      <w:r>
        <w:rPr>
          <w:rFonts w:eastAsia="仿宋_GB2312" w:hint="eastAsia"/>
          <w:sz w:val="32"/>
        </w:rPr>
        <w:t>、负责辖区内的文物征集、追剿、征购、管理。</w:t>
      </w:r>
    </w:p>
    <w:p w:rsidR="008118F4" w:rsidRDefault="008118F4" w:rsidP="008118F4">
      <w:pPr>
        <w:widowControl/>
        <w:spacing w:line="580" w:lineRule="exact"/>
        <w:ind w:firstLineChars="177" w:firstLine="566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7</w:t>
      </w:r>
      <w:r>
        <w:rPr>
          <w:rFonts w:eastAsia="仿宋_GB2312" w:hint="eastAsia"/>
          <w:sz w:val="32"/>
        </w:rPr>
        <w:t>、认真完成上级文物行政主管部门交办的其他工作。</w:t>
      </w:r>
    </w:p>
    <w:p w:rsidR="00BA23E0" w:rsidRDefault="00BA23E0" w:rsidP="008118F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BA23E0" w:rsidRDefault="00FD701A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部门组成</w:t>
      </w: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8A3E8C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 w:rsidRPr="008A3E8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文物保管所</w:t>
      </w:r>
      <w:r w:rsidRPr="008A3E8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为南宫市文化广播电视新闻出版体育局下属事业单位，预算管理上只包括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文物保管所</w:t>
      </w:r>
      <w:r w:rsidRPr="008A3E8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为本级。</w:t>
      </w: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sectPr w:rsidR="00BA23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FD701A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 xml:space="preserve">第二部分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2017年部门决算表</w:t>
      </w:r>
    </w:p>
    <w:p w:rsidR="00BA23E0" w:rsidRDefault="00BA23E0">
      <w:pPr>
        <w:widowControl/>
        <w:spacing w:line="58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BA23E0">
      <w:pPr>
        <w:widowControl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sectPr w:rsidR="00BA23E0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BA23E0" w:rsidRDefault="00271427">
      <w:pPr>
        <w:widowControl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694.85pt;height:517.6pt;visibility:visible">
            <v:imagedata r:id="rId7" o:title="1540286116(1)"/>
          </v:shape>
        </w:pict>
      </w:r>
      <w:r w:rsidR="00B23091" w:rsidRPr="00B23091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</w:p>
    <w:p w:rsidR="00BA23E0" w:rsidRDefault="00BA23E0">
      <w:pPr>
        <w:widowControl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sectPr w:rsidR="00BA23E0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BA23E0" w:rsidRDefault="00BA23E0">
      <w:pPr>
        <w:widowControl/>
        <w:spacing w:line="580" w:lineRule="exact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BA23E0" w:rsidRDefault="00271427">
      <w:pPr>
        <w:widowControl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pict>
          <v:shape id="图片 3" o:spid="_x0000_i1026" type="#_x0000_t75" style="width:736.3pt;height:294.1pt;visibility:visible">
            <v:imagedata r:id="rId8" o:title="1540286304(1)"/>
          </v:shape>
        </w:pict>
      </w:r>
    </w:p>
    <w:p w:rsidR="00450EA8" w:rsidRDefault="00271427">
      <w:pPr>
        <w:widowControl/>
        <w:jc w:val="center"/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</w:pPr>
      <w:r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图片 4" o:spid="_x0000_i1027" type="#_x0000_t75" style="width:734.25pt;height:293.45pt;visibility:visible">
            <v:imagedata r:id="rId9" o:title="1540286419(1)"/>
          </v:shape>
        </w:pict>
      </w:r>
      <w:r w:rsidR="00001E5B" w:rsidRPr="00001E5B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图片 6" o:spid="_x0000_i1028" type="#_x0000_t75" style="width:753.3pt;height:535.9pt;visibility:visible">
            <v:imagedata r:id="rId10" o:title="1540286601(1)"/>
          </v:shape>
        </w:pict>
      </w:r>
      <w:r w:rsidR="00996F88" w:rsidRPr="00996F88">
        <w:rPr>
          <w:rFonts w:ascii="宋体" w:hAnsi="宋体" w:cs="宋体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="00996F88" w:rsidRPr="00996F88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图片 7" o:spid="_x0000_i1029" type="#_x0000_t75" style="width:737.65pt;height:307pt;visibility:visible">
            <v:imagedata r:id="rId11" o:title="1540286777(1)"/>
          </v:shape>
        </w:pict>
      </w:r>
      <w:r w:rsidR="001600FA" w:rsidRPr="001600FA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图片 8" o:spid="_x0000_i1030" type="#_x0000_t75" style="width:751.25pt;height:424.55pt;visibility:visible">
            <v:imagedata r:id="rId12" o:title="1540286867(1)"/>
          </v:shape>
        </w:pict>
      </w:r>
      <w:r w:rsidR="004F2117" w:rsidRPr="004F2117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="00D57DEB" w:rsidRPr="00D57DE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_x0000_i1031" type="#_x0000_t75" style="width:738.35pt;height:261.5pt">
            <v:imagedata r:id="rId13" o:title="1540352544(1)"/>
          </v:shape>
        </w:pict>
      </w:r>
    </w:p>
    <w:p w:rsidR="00BA23E0" w:rsidRDefault="00D57DEB">
      <w:pPr>
        <w:widowControl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sectPr w:rsidR="00BA23E0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  <w:r w:rsidRPr="00D57DEB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="00271427"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pict>
          <v:shape id="_x0000_i1032" type="#_x0000_t75" style="width:738.35pt;height:245.9pt">
            <v:imagedata r:id="rId14" o:title="1540352600(1)"/>
          </v:shape>
        </w:pict>
      </w:r>
      <w:r w:rsidR="00DB69F5" w:rsidRPr="00DB69F5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="00271427"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_x0000_i1033" type="#_x0000_t75" style="width:741.05pt;height:393.3pt">
            <v:imagedata r:id="rId15" o:title="1540352646(1)"/>
          </v:shape>
        </w:pict>
      </w:r>
      <w:r w:rsidR="00DB69F5" w:rsidRPr="00DB69F5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  <w:r w:rsidR="00271427" w:rsidRPr="00823240">
        <w:rPr>
          <w:rFonts w:ascii="宋体" w:hAnsi="宋体" w:cs="宋体"/>
          <w:b/>
          <w:noProof/>
          <w:color w:val="000000"/>
          <w:sz w:val="32"/>
          <w:szCs w:val="32"/>
          <w:shd w:val="clear" w:color="auto" w:fill="FFFFFF"/>
        </w:rPr>
        <w:lastRenderedPageBreak/>
        <w:pict>
          <v:shape id="_x0000_i1034" type="#_x0000_t75" style="width:739pt;height:339.6pt">
            <v:imagedata r:id="rId16" o:title="1540352690(1)"/>
          </v:shape>
        </w:pict>
      </w:r>
      <w:r w:rsidR="00C06277" w:rsidRPr="00C06277">
        <w:rPr>
          <w:rFonts w:ascii="宋体" w:hAnsi="宋体" w:cs="宋体" w:hint="eastAsia"/>
          <w:b/>
          <w:bCs/>
          <w:noProof/>
          <w:color w:val="000000"/>
          <w:sz w:val="32"/>
          <w:szCs w:val="32"/>
          <w:shd w:val="clear" w:color="auto" w:fill="FFFFFF"/>
        </w:rPr>
        <w:t xml:space="preserve"> </w:t>
      </w:r>
    </w:p>
    <w:p w:rsidR="00BA23E0" w:rsidRDefault="00FD701A">
      <w:pPr>
        <w:widowControl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第三部分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2017年部门决算情况说明</w:t>
      </w: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BA23E0" w:rsidRDefault="00FD701A">
      <w:pPr>
        <w:widowControl/>
        <w:numPr>
          <w:ilvl w:val="0"/>
          <w:numId w:val="3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BA23E0" w:rsidRDefault="00BA23E0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2017年度预算收入为</w:t>
      </w:r>
      <w:r w:rsidR="00FB7DDA" w:rsidRPr="00FB7DD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 w:rsidR="00830AEE" w:rsidRPr="00FB7DD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830AEE" w:rsidRPr="00AB5F2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830AEE" w:rsidRPr="00F874A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万元。2017年度预算安排较上年度</w:t>
      </w:r>
      <w:r w:rsidR="00AD277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减少54.02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AD277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66503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59.87</w:t>
      </w:r>
      <w:r w:rsidR="009A21B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，主要原因是财政拨款收入</w:t>
      </w:r>
      <w:r w:rsidR="007D1D5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，财政拨款收入</w:t>
      </w:r>
      <w:r w:rsidR="007D1D5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主要是</w:t>
      </w:r>
      <w:r w:rsidR="00D131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</w:t>
      </w:r>
      <w:r w:rsidR="007D1D5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减少。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2017年年末结转和结余为</w:t>
      </w:r>
      <w:r w:rsidR="00D131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万元,较上年度减少</w:t>
      </w:r>
      <w:r w:rsidR="00D131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D131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0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%,</w:t>
      </w:r>
      <w:r w:rsidR="00D131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无</w:t>
      </w:r>
      <w:r w:rsidR="0073052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年末结转和结余。</w:t>
      </w:r>
    </w:p>
    <w:p w:rsidR="00BA23E0" w:rsidRDefault="00FD701A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8C0A1E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627BCC" w:rsidRPr="00FB7DD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2136A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35.04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2136A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49.17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</w:t>
      </w:r>
      <w:r w:rsidR="008C0A1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626E1E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</w:t>
      </w:r>
      <w:r w:rsidR="00626E1E" w:rsidRPr="00626E1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48.68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626E1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626E1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31.7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</w:t>
      </w:r>
      <w:r w:rsidR="001D7CB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和项目经费增加。</w:t>
      </w:r>
    </w:p>
    <w:p w:rsidR="00BA23E0" w:rsidRDefault="00FD701A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BA23E0" w:rsidRDefault="00FD701A" w:rsidP="00AD7A71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2017年度财政拨款支出决算为</w:t>
      </w:r>
      <w:r w:rsidR="00AD7A71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万元，年初预算财政拨款支出为</w:t>
      </w:r>
      <w:r w:rsidR="00AD7A71" w:rsidRPr="00FB7DD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AD7A7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加了35.04万元，增幅为49.17%。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2017年度财政拨款支出决算为</w:t>
      </w:r>
      <w:r w:rsidR="0074177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741771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万元，2016年度财政拨款支出决算为</w:t>
      </w:r>
      <w:r w:rsidR="00741771" w:rsidRPr="00626E1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48.68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74177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04575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31.7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</w:t>
      </w:r>
      <w:r w:rsidR="0004575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和项目经费增加。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2017年年初预算支出为</w:t>
      </w:r>
      <w:r w:rsidR="00E52D40" w:rsidRPr="00E52D4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AB5F29" w:rsidRPr="00AB5F2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F874A9" w:rsidRPr="00F874A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万元，其他支出</w:t>
      </w:r>
      <w:r w:rsidR="004D5F8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="00694E7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694E76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</w:t>
      </w:r>
      <w:r w:rsidR="00D4382B" w:rsidRPr="00D4382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文化体育与传媒支出</w:t>
      </w:r>
      <w:r w:rsidR="00D4382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D4382B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 w:rsidR="00D4382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按照支出性质情况：基本支出</w:t>
      </w:r>
      <w:r w:rsidR="00D4382B" w:rsidRPr="00411F24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38.47</w:t>
      </w:r>
      <w:r w:rsidR="00D4382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，项目支出</w:t>
      </w:r>
      <w:r w:rsidR="00D4382B" w:rsidRPr="00411F24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32.79</w:t>
      </w:r>
      <w:r w:rsidR="00D4382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A23E0" w:rsidRDefault="00FD701A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BA23E0" w:rsidRDefault="00FD701A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2017年度财政拨款收入预算安排为</w:t>
      </w:r>
      <w:r w:rsidR="00A8213C" w:rsidRPr="00E52D4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 w:rsidR="003F67D8" w:rsidRPr="00E52D4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3F67D8" w:rsidRPr="00AB5F2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3F67D8" w:rsidRPr="00F874A9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5.89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万元。2017年度财政拨款预算安排支出</w:t>
      </w:r>
      <w:r w:rsidR="008F6C9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无增减，收支平衡。</w:t>
      </w:r>
    </w:p>
    <w:p w:rsidR="00BA23E0" w:rsidRDefault="00FD701A">
      <w:pPr>
        <w:widowControl/>
        <w:numPr>
          <w:ilvl w:val="0"/>
          <w:numId w:val="4"/>
        </w:numPr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收入支出预算执行情况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1、收入支出与预算对比分析</w:t>
      </w:r>
    </w:p>
    <w:p w:rsidR="007F1079" w:rsidRDefault="00FD701A" w:rsidP="007F1079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6F127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6F1271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7F1079" w:rsidRPr="00E52D4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36.22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7F107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35.04万元，增幅为49.17%。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06330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063306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</w:t>
      </w:r>
      <w:r w:rsidR="00063306" w:rsidRPr="00626E1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48.68</w:t>
      </w:r>
      <w:r w:rsidR="0006330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万元，增加了22.58万元，增幅为31.7%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A23E0" w:rsidRDefault="00FD701A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="0008362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08362D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</w:t>
      </w:r>
      <w:r w:rsidR="0008362D" w:rsidRPr="00D4382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文化体育与传媒支出</w:t>
      </w:r>
      <w:r w:rsidR="0008362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08362D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 w:rsidR="0008362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万元，按照支出性质情况：基本支出</w:t>
      </w:r>
      <w:r w:rsidR="0008362D" w:rsidRPr="00411F24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38.47</w:t>
      </w:r>
      <w:r w:rsidR="0008362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08362D" w:rsidRPr="00411F24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32.79</w:t>
      </w:r>
      <w:r w:rsidR="0008362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按照经济分类情况：工资福利支出</w:t>
      </w:r>
      <w:r w:rsidR="00DC2BD0" w:rsidRPr="00DC2BD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33.85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万元，商品和服务支出</w:t>
      </w:r>
      <w:r w:rsidR="00DC2BD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万元，对个人和家庭的补助支出</w:t>
      </w:r>
      <w:r w:rsidR="00522CB8" w:rsidRPr="00522CB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2.82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万元，其他资本性支出</w:t>
      </w:r>
      <w:r w:rsidR="00522CB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BA23E0" w:rsidRDefault="00FD701A">
      <w:pPr>
        <w:widowControl/>
        <w:numPr>
          <w:ilvl w:val="0"/>
          <w:numId w:val="5"/>
        </w:num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BA23E0" w:rsidRDefault="00FD701A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 xml:space="preserve">   （1）2017年度决算总收入为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8E68E6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万元，其中：一般公共预算收入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8E68E6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%；事业收入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%；其他收入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%。总收入较上年度增加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22.58万元，增幅为31.7%，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主要是人员</w:t>
      </w:r>
      <w:r w:rsidR="008E68E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</w:t>
      </w:r>
      <w:r w:rsidR="003F6B6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增加。</w:t>
      </w:r>
    </w:p>
    <w:p w:rsidR="00BA23E0" w:rsidRDefault="00FD701A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（2）2017年度决算总支出为</w:t>
      </w:r>
      <w:r w:rsidR="008963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896320" w:rsidRPr="00E36FA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896320" w:rsidRPr="00411F24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38.47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4D64D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%；项目支出</w:t>
      </w:r>
      <w:r w:rsidR="00896320" w:rsidRPr="00411F24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32.79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4D64D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</w:t>
      </w:r>
    </w:p>
    <w:p w:rsidR="00BA23E0" w:rsidRDefault="00FD701A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（3）2017年末结转和结余为</w:t>
      </w:r>
      <w:r w:rsidR="00501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万元,较上年度减少</w:t>
      </w:r>
      <w:r w:rsidR="00501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5017D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</w:t>
      </w:r>
    </w:p>
    <w:p w:rsidR="00BA23E0" w:rsidRDefault="00FD701A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“三公”经费支出决算情况</w:t>
      </w:r>
    </w:p>
    <w:p w:rsidR="00BA23E0" w:rsidRDefault="00FD701A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964C86" w:rsidRDefault="00BF6F79" w:rsidP="00964C86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</w:t>
      </w:r>
      <w:r w:rsidR="00964C86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964C86"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964C86" w:rsidTr="00964C86">
        <w:trPr>
          <w:jc w:val="center"/>
        </w:trPr>
        <w:tc>
          <w:tcPr>
            <w:tcW w:w="2994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2016年</w:t>
            </w:r>
          </w:p>
        </w:tc>
        <w:tc>
          <w:tcPr>
            <w:tcW w:w="1455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2017年</w:t>
            </w:r>
          </w:p>
        </w:tc>
        <w:tc>
          <w:tcPr>
            <w:tcW w:w="1335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964C86" w:rsidTr="00964C86">
        <w:trPr>
          <w:jc w:val="center"/>
        </w:trPr>
        <w:tc>
          <w:tcPr>
            <w:tcW w:w="2994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964C86" w:rsidTr="00964C86">
        <w:trPr>
          <w:jc w:val="center"/>
        </w:trPr>
        <w:tc>
          <w:tcPr>
            <w:tcW w:w="2994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964C86" w:rsidTr="00964C86">
        <w:trPr>
          <w:jc w:val="center"/>
        </w:trPr>
        <w:tc>
          <w:tcPr>
            <w:tcW w:w="2994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964C86" w:rsidTr="00964C86">
        <w:trPr>
          <w:jc w:val="center"/>
        </w:trPr>
        <w:tc>
          <w:tcPr>
            <w:tcW w:w="2994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964C86" w:rsidTr="00964C86">
        <w:trPr>
          <w:jc w:val="center"/>
        </w:trPr>
        <w:tc>
          <w:tcPr>
            <w:tcW w:w="2994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964C86" w:rsidTr="00964C86">
        <w:trPr>
          <w:jc w:val="center"/>
        </w:trPr>
        <w:tc>
          <w:tcPr>
            <w:tcW w:w="2994" w:type="dxa"/>
            <w:vAlign w:val="center"/>
          </w:tcPr>
          <w:p w:rsidR="00964C86" w:rsidRPr="00964C86" w:rsidRDefault="00964C86" w:rsidP="00964C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64C86" w:rsidRPr="00964C86" w:rsidRDefault="00964C86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</w:tbl>
    <w:p w:rsidR="000F1AD0" w:rsidRPr="00DE6272" w:rsidRDefault="00964C86" w:rsidP="008E05A2">
      <w:pPr>
        <w:widowControl/>
        <w:adjustRightInd w:val="0"/>
        <w:snapToGrid w:val="0"/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DE627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883846" w:rsidRPr="00DE627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我单位无公车，因此没有三公经费。因公出国（境）费、公务用车运行维护费、公务用车购置费、公务用车运行维护费、公务接待费与上年度一样，均为0。</w:t>
      </w:r>
    </w:p>
    <w:p w:rsidR="00BA23E0" w:rsidRDefault="000F1AD0" w:rsidP="00964C86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（二）</w:t>
      </w:r>
      <w:r w:rsidR="00FD701A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8E05A2" w:rsidRDefault="008E05A2" w:rsidP="008E05A2">
      <w:pPr>
        <w:widowControl/>
        <w:adjustRightInd w:val="0"/>
        <w:snapToGrid w:val="0"/>
        <w:ind w:firstLineChars="2150" w:firstLine="602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8E05A2" w:rsidTr="008E05A2">
        <w:trPr>
          <w:jc w:val="center"/>
        </w:trPr>
        <w:tc>
          <w:tcPr>
            <w:tcW w:w="2994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8E05A2" w:rsidTr="008E05A2">
        <w:trPr>
          <w:jc w:val="center"/>
        </w:trPr>
        <w:tc>
          <w:tcPr>
            <w:tcW w:w="2994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E05A2" w:rsidTr="008E05A2">
        <w:trPr>
          <w:jc w:val="center"/>
        </w:trPr>
        <w:tc>
          <w:tcPr>
            <w:tcW w:w="2994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E05A2" w:rsidTr="008E05A2">
        <w:trPr>
          <w:jc w:val="center"/>
        </w:trPr>
        <w:tc>
          <w:tcPr>
            <w:tcW w:w="2994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E05A2" w:rsidTr="008E05A2">
        <w:trPr>
          <w:jc w:val="center"/>
        </w:trPr>
        <w:tc>
          <w:tcPr>
            <w:tcW w:w="2994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E05A2" w:rsidTr="008E05A2">
        <w:trPr>
          <w:jc w:val="center"/>
        </w:trPr>
        <w:tc>
          <w:tcPr>
            <w:tcW w:w="2994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E05A2" w:rsidTr="008E05A2">
        <w:trPr>
          <w:jc w:val="center"/>
        </w:trPr>
        <w:tc>
          <w:tcPr>
            <w:tcW w:w="2994" w:type="dxa"/>
            <w:vAlign w:val="center"/>
          </w:tcPr>
          <w:p w:rsidR="008E05A2" w:rsidRPr="008E05A2" w:rsidRDefault="008E05A2" w:rsidP="008E05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8E05A2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E05A2" w:rsidRPr="00964C86" w:rsidRDefault="008E05A2" w:rsidP="0009418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964C86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</w:tbl>
    <w:p w:rsidR="00826DEE" w:rsidRDefault="00826DEE" w:rsidP="00826DEE">
      <w:pPr>
        <w:widowControl/>
        <w:adjustRightInd w:val="0"/>
        <w:snapToGrid w:val="0"/>
        <w:ind w:firstLineChars="150" w:firstLine="48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我单位出国团组0个，0人次。公务用车保有量为0辆。国内公务接待0批次，0人次。</w:t>
      </w:r>
    </w:p>
    <w:p w:rsidR="003A3CDD" w:rsidRDefault="003A3CDD" w:rsidP="00BF6F79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BA23E0" w:rsidRDefault="00187689" w:rsidP="00642200">
      <w:pPr>
        <w:widowControl/>
        <w:adjustRightInd w:val="0"/>
        <w:snapToGrid w:val="0"/>
        <w:spacing w:line="460" w:lineRule="exact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六、</w:t>
      </w:r>
      <w:r w:rsidR="00FD701A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460553" w:rsidRPr="00642200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（一）总体情况</w:t>
      </w:r>
    </w:p>
    <w:p w:rsidR="00460553" w:rsidRPr="00642200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2017年，我部门紧紧围绕市委市政府决策部署，以“部门职责—工作活动”为依据，确定部门预算项目和预算额度，清晰描述预算项目开支范围和内容，确定预算项目的绩效目标、绩效指标和评价标准，为预算绩效控制、绩效分析、绩效评价打下好的基础。</w:t>
      </w:r>
    </w:p>
    <w:p w:rsidR="00460553" w:rsidRPr="00642200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（二）绩效自评开展情况</w:t>
      </w:r>
    </w:p>
    <w:p w:rsidR="00460553" w:rsidRPr="00642200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1、前期准备。成立以所长任组长，办公室、业务人员为成员的绩效评价工作组，统筹组织开展绩效评价工作。召开专题会议研究部署，认真传达学习《关于做好 2018 年市直部门绩效自评工作的通知》等文件精神，明确目标任务，落实责任分工，确保自评工作扎实有效开展。 </w:t>
      </w:r>
    </w:p>
    <w:p w:rsidR="00460553" w:rsidRPr="00642200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2、组织实施。对于专项项目资金使用进行综合自评，采取收集、审核资料、现场核实、综合评价等措施进行定量定性的评价，最后分别形成结论。</w:t>
      </w:r>
    </w:p>
    <w:p w:rsidR="00460553" w:rsidRPr="00642200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3、分析评价。根据评价，对发现的问题提出意见和建议，汇总形成省级预算安排的专项项目绩效目标自评表，按照规定的文本格式和要求撰写绩效评价报告，并在规定的时间内正式提交。</w:t>
      </w:r>
    </w:p>
    <w:p w:rsidR="00460553" w:rsidRPr="00642200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（三）部门整体绩效目标的完成情况</w:t>
      </w:r>
    </w:p>
    <w:p w:rsidR="000F619E" w:rsidRDefault="00460553" w:rsidP="006422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  </w:t>
      </w:r>
      <w:r w:rsidR="007C1087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通过努力，本年度，我</w:t>
      </w:r>
      <w:r w:rsidR="000B4668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单位</w:t>
      </w:r>
      <w:r w:rsidR="007C1087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项目</w:t>
      </w:r>
      <w:r w:rsidR="00FF0CED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 w:rsidR="007C1087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个，资金共计</w:t>
      </w:r>
      <w:r w:rsidR="00FF0CED" w:rsidRPr="00642200">
        <w:rPr>
          <w:rFonts w:ascii="仿宋_GB2312" w:eastAsia="仿宋_GB2312" w:hAnsi="仿宋_GB2312" w:cs="仿宋_GB2312"/>
          <w:kern w:val="2"/>
          <w:sz w:val="32"/>
          <w:szCs w:val="32"/>
        </w:rPr>
        <w:t>32.79</w:t>
      </w:r>
      <w:r w:rsidR="007C1087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万元，其中文物保护项目</w:t>
      </w:r>
      <w:r w:rsidR="00FF0CED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 w:rsidR="007C1087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个、</w:t>
      </w:r>
      <w:r w:rsidR="00434F7D" w:rsidRPr="00642200">
        <w:rPr>
          <w:rFonts w:ascii="仿宋_GB2312" w:eastAsia="仿宋_GB2312" w:hAnsi="仿宋_GB2312" w:cs="仿宋_GB2312"/>
          <w:kern w:val="2"/>
          <w:sz w:val="32"/>
          <w:szCs w:val="32"/>
        </w:rPr>
        <w:t>32.79</w:t>
      </w:r>
      <w:r w:rsidR="00434F7D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万元，</w:t>
      </w:r>
      <w:r w:rsidR="00522427" w:rsidRPr="00642200">
        <w:rPr>
          <w:rFonts w:ascii="仿宋_GB2312" w:eastAsia="仿宋_GB2312" w:hAnsi="仿宋_GB2312" w:cs="仿宋_GB2312" w:hint="eastAsia"/>
          <w:kern w:val="2"/>
          <w:sz w:val="32"/>
          <w:szCs w:val="32"/>
        </w:rPr>
        <w:t>较好地实现了预算项目绩效目标。全面贯彻党的教育方针政策和文物保护工作贯</w:t>
      </w:r>
      <w:r w:rsidR="00522427" w:rsidRPr="006422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彻保护为主、抢救第一、合理利用、加强管理的方</w:t>
      </w:r>
      <w:r w:rsidR="002C1727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十六字</w:t>
      </w:r>
      <w:r w:rsidR="00522427" w:rsidRPr="006422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针。</w:t>
      </w:r>
    </w:p>
    <w:p w:rsidR="00FD2DC2" w:rsidRPr="00FD2DC2" w:rsidRDefault="00FD2DC2" w:rsidP="00FD2DC2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FD2DC2">
        <w:rPr>
          <w:rFonts w:ascii="仿宋_GB2312" w:eastAsia="仿宋_GB2312" w:hAnsi="仿宋_GB2312" w:cs="仿宋_GB2312" w:hint="eastAsia"/>
          <w:kern w:val="2"/>
          <w:sz w:val="32"/>
          <w:szCs w:val="32"/>
        </w:rPr>
        <w:t>（四）开展预算项目绩效评价发现的主要问题及对策</w:t>
      </w:r>
    </w:p>
    <w:p w:rsidR="00FD2DC2" w:rsidRPr="00FD2DC2" w:rsidRDefault="00FD2DC2" w:rsidP="00FD2DC2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4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FD2DC2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通过实施预算项目绩效评价发现，预算项目绩效目标设定还需进一步详尽，绩效指标应充分体现“结果”导向原则。进一步改进完善的措施：一是按照“结果”导向原则做好项目绩效目标设定工作，将绩效目标设定从“支出完成”和“实现产出”向注重“全面结果”的评价重点转变；二是完善项目绩效指标设定，进一步探索更具科学性和可操作性的绩效分析、绩效考核指标体系。</w:t>
      </w:r>
    </w:p>
    <w:p w:rsidR="00BA23E0" w:rsidRDefault="00FD701A" w:rsidP="00460553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BA23E0" w:rsidRDefault="001D1F8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本单位</w:t>
      </w:r>
      <w:r w:rsidR="00F1614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无会议费支出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情况</w:t>
      </w:r>
      <w:r w:rsidR="00F1614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A23E0" w:rsidRDefault="00FD701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（二）培训费支出情况</w:t>
      </w:r>
    </w:p>
    <w:p w:rsidR="00BA23E0" w:rsidRDefault="001D1F8F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</w:t>
      </w:r>
      <w:r w:rsidR="00F1614E">
        <w:rPr>
          <w:rFonts w:ascii="仿宋_GB2312" w:eastAsia="仿宋_GB2312" w:hAnsi="仿宋_GB2312" w:cs="仿宋_GB2312" w:hint="eastAsia"/>
          <w:sz w:val="32"/>
          <w:szCs w:val="32"/>
        </w:rPr>
        <w:t>无培训费支出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 w:rsidR="00FD701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23E0" w:rsidRDefault="00FD701A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F1614E" w:rsidRDefault="00FD701A" w:rsidP="00F1614E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2017年机关运行经费支出</w:t>
      </w:r>
      <w:r w:rsidR="00FD0DF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万元，2016年机关运行经费支出</w:t>
      </w:r>
      <w:r w:rsidR="00FD0DF1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363BF3">
        <w:rPr>
          <w:rFonts w:ascii="仿宋_GB2312" w:eastAsia="仿宋_GB2312" w:hAnsi="仿宋_GB2312" w:cs="仿宋_GB2312" w:hint="eastAsia"/>
          <w:sz w:val="32"/>
          <w:szCs w:val="32"/>
        </w:rPr>
        <w:t>上年度支出与对比平衡</w:t>
      </w:r>
      <w:r w:rsidR="00AF3262">
        <w:rPr>
          <w:rFonts w:ascii="仿宋_GB2312" w:eastAsia="仿宋_GB2312" w:hAnsi="仿宋_GB2312" w:cs="仿宋_GB2312" w:hint="eastAsia"/>
          <w:sz w:val="32"/>
          <w:szCs w:val="32"/>
        </w:rPr>
        <w:t>，无增减变化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14DE9">
        <w:rPr>
          <w:rFonts w:ascii="仿宋_GB2312" w:eastAsia="仿宋_GB2312" w:hAnsi="仿宋_GB2312" w:cs="仿宋_GB2312" w:hint="eastAsia"/>
          <w:sz w:val="32"/>
          <w:szCs w:val="32"/>
        </w:rPr>
        <w:t>我单位为财政性保障事业单位，非参照公务员法管理的事业单位</w:t>
      </w:r>
      <w:r w:rsidR="004E23C4">
        <w:rPr>
          <w:rFonts w:ascii="仿宋_GB2312" w:eastAsia="仿宋_GB2312" w:hAnsi="仿宋_GB2312" w:cs="仿宋_GB2312" w:hint="eastAsia"/>
          <w:sz w:val="32"/>
          <w:szCs w:val="32"/>
        </w:rPr>
        <w:t>，所以不涉及机关运行经费。</w:t>
      </w:r>
    </w:p>
    <w:p w:rsidR="00BA23E0" w:rsidRDefault="00AF3262" w:rsidP="00AF3262">
      <w:pPr>
        <w:adjustRightInd w:val="0"/>
        <w:snapToGrid w:val="0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FD701A"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231059" w:rsidRDefault="00FD701A" w:rsidP="00231059">
      <w:pPr>
        <w:adjustRightInd w:val="0"/>
        <w:snapToGrid w:val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2017年政府采购总计划金额 </w:t>
      </w:r>
      <w:r w:rsidR="00231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BA23E0" w:rsidRDefault="00FD701A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BA23E0" w:rsidRDefault="00FD701A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截止2017年12月31日，本部门共有车辆</w:t>
      </w:r>
      <w:r w:rsidR="006A591D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</w:t>
      </w:r>
    </w:p>
    <w:p w:rsidR="00BA23E0" w:rsidRDefault="00FD701A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2017年初资产总值</w:t>
      </w:r>
      <w:r w:rsidR="009358C4">
        <w:rPr>
          <w:rFonts w:ascii="仿宋_GB2312" w:eastAsia="仿宋_GB2312" w:hAnsi="仿宋_GB2312" w:cs="仿宋_GB2312" w:hint="eastAsia"/>
          <w:sz w:val="32"/>
          <w:szCs w:val="32"/>
        </w:rPr>
        <w:t>25.85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 w:rsidR="009358C4">
        <w:rPr>
          <w:rFonts w:ascii="仿宋_GB2312" w:eastAsia="仿宋_GB2312" w:hAnsi="仿宋_GB2312" w:cs="仿宋_GB2312" w:hint="eastAsia"/>
          <w:sz w:val="32"/>
          <w:szCs w:val="32"/>
        </w:rPr>
        <w:t>25.85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 w:rsidR="001F5A73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 w:rsidR="000E2E73">
        <w:rPr>
          <w:rFonts w:ascii="仿宋_GB2312" w:eastAsia="仿宋_GB2312" w:hAnsi="仿宋_GB2312" w:cs="仿宋_GB2312" w:hint="eastAsia"/>
          <w:sz w:val="32"/>
          <w:szCs w:val="32"/>
        </w:rPr>
        <w:t>25.85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 w:rsidR="001F5A73" w:rsidRPr="001F5A73">
        <w:rPr>
          <w:rFonts w:ascii="仿宋_GB2312" w:eastAsia="仿宋_GB2312" w:hAnsi="仿宋_GB2312" w:cs="仿宋_GB2312"/>
          <w:sz w:val="32"/>
          <w:szCs w:val="32"/>
        </w:rPr>
        <w:t>20.66</w:t>
      </w:r>
      <w:r w:rsidR="001F5A73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、其他固定资产</w:t>
      </w:r>
      <w:r w:rsidR="001F5A73" w:rsidRPr="001F5A73">
        <w:rPr>
          <w:rFonts w:ascii="仿宋_GB2312" w:eastAsia="仿宋_GB2312" w:hAnsi="仿宋_GB2312" w:cs="仿宋_GB2312"/>
          <w:sz w:val="32"/>
          <w:szCs w:val="32"/>
        </w:rPr>
        <w:t>5.19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万元（主要为通用设备、专用设备、办公家具及用具装具等）。</w:t>
      </w:r>
    </w:p>
    <w:p w:rsidR="00BA23E0" w:rsidRDefault="00FD701A">
      <w:pPr>
        <w:numPr>
          <w:ilvl w:val="0"/>
          <w:numId w:val="12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4F0071" w:rsidRDefault="00FD701A" w:rsidP="00AE5D83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</w:t>
      </w:r>
      <w:r w:rsidR="00AE5D83">
        <w:rPr>
          <w:rFonts w:ascii="仿宋_GB2312" w:eastAsia="仿宋_GB2312" w:hAnsi="仿宋_GB2312" w:cs="仿宋_GB2312" w:hint="eastAsia"/>
          <w:sz w:val="32"/>
          <w:szCs w:val="32"/>
        </w:rPr>
        <w:t>我单位无负债</w:t>
      </w:r>
      <w:r w:rsidR="00094185"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 w:rsidR="00AE5D8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23E0" w:rsidRPr="004347D9" w:rsidRDefault="004347D9" w:rsidP="004F0071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4347D9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r w:rsidR="00FD701A" w:rsidRPr="004347D9">
        <w:rPr>
          <w:rFonts w:ascii="仿宋_GB2312" w:eastAsia="仿宋_GB2312" w:hAnsi="仿宋_GB2312" w:cs="仿宋_GB2312" w:hint="eastAsia"/>
          <w:sz w:val="32"/>
          <w:szCs w:val="32"/>
        </w:rPr>
        <w:t>其他需要说明的问题</w:t>
      </w:r>
    </w:p>
    <w:p w:rsidR="00BA23E0" w:rsidRDefault="00FD701A" w:rsidP="007B1737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7B1737" w:rsidRPr="007B1737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094185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7B1737" w:rsidRPr="007B1737">
        <w:rPr>
          <w:rFonts w:ascii="仿宋_GB2312" w:eastAsia="仿宋_GB2312" w:hAnsi="仿宋_GB2312" w:cs="仿宋_GB2312" w:hint="eastAsia"/>
          <w:sz w:val="32"/>
          <w:szCs w:val="32"/>
        </w:rPr>
        <w:t>不涉及《政府性基金预算财政拨款收入支出决算表》、《国有资本经营预算财政拨款收入支出决算表》、《“三公”经费等相关信息统计表》和《政府采购情况表》，因此均为空表。</w:t>
      </w:r>
    </w:p>
    <w:p w:rsidR="00BA23E0" w:rsidRDefault="00FD701A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第四部分  名词解释</w:t>
      </w:r>
    </w:p>
    <w:p w:rsidR="00BA23E0" w:rsidRDefault="00BA23E0"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A23E0" w:rsidRDefault="00FD701A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财政拨款收入：本年度从本级财政部门取得的财政拨款，包括一般公共预算财政拨款和政府性基金预算财政拨款。 </w:t>
      </w:r>
    </w:p>
    <w:p w:rsidR="00BA23E0" w:rsidRDefault="00FD701A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事业收入：指事业单位开展专业业务活动及辅助活动所 取得的收入。</w:t>
      </w:r>
    </w:p>
    <w:p w:rsidR="00BA23E0" w:rsidRDefault="00FD701A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 “经营收入”等以外的收入。</w:t>
      </w:r>
    </w:p>
    <w:p w:rsidR="00BA23E0" w:rsidRDefault="00FD701A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 政拨款收入”、“财政拨款结转和结余资金”、“事业收入”、“经营收入”、“其他收入”不足以安排当年支出的情况下，使用以前年 度积累的事业基金（事业单位当年收支相抵后按国家规定提取、用于弥补以后年度收支差额的基金）弥补本年度收支缺口的资金。</w:t>
      </w:r>
    </w:p>
    <w:p w:rsidR="00BA23E0" w:rsidRDefault="00FD701A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 按原规定用途继续使用的资金，或项目已完成等产生的结余资金。</w:t>
      </w:r>
    </w:p>
    <w:p w:rsidR="00BA23E0" w:rsidRDefault="00FD701A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结余分配：指事业单位按照事业单位会计制度的规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定从 非财政补助结余中分配的事业基金和职工福利基金等。</w:t>
      </w:r>
    </w:p>
    <w:p w:rsidR="00BA23E0" w:rsidRDefault="00FD701A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年末结转和结余：指单位按有关规定结转到下年或以后 年度继续使用的资金，或项目已完成等产生的结余资金。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八、基本支出：填列单位为保障机构正常运转、完成日常工 作任务而发生的各项支出。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 发展目标，在基本支出之外发生的各项支出。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十、基本建设支出：填列由本级发展与改革部门集中安排的 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 安排的用于购置固定资产、战备性和应急性储备、土地和无形资产，以及购建基础设施、大型修缮和财政支持企业更新改造所发 生的支出。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十二、“三公”经费：指部门用财政拨款安排的因公出国（境） 费、公务用车购置及运行费和公务接待费。其中，因公出国（境） 费反映单位公务出国（境）的国际旅费、国外城市间交通费、住宿费、伙食费、培训费、公杂费等支出；公务用车购置及运行费 反映单位公务用车购置支出（含车辆购置税）及租用费、燃料费、维修费、过路过桥费、保险费、安全奖励费用等支出；公务接待 费反映单位按规定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开支的各类公务接待（含外宾接待）支出。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 的其他交通费用。如飞机、船舶等的燃料费、维修费、过桥过路费、保险费、出租车费用、公务交通补贴等。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 车辆购置税）。</w:t>
      </w:r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十五、其他交通工具购置：填列单位除公务用车外的其他各 类交通工具（如船舶、飞机）购置支出（含车辆购置税）。</w:t>
      </w:r>
      <w:bookmarkStart w:id="0" w:name="_GoBack"/>
      <w:bookmarkEnd w:id="0"/>
    </w:p>
    <w:p w:rsidR="00BA23E0" w:rsidRDefault="00FD701A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十六、机关运行经费：指为保障行政单位（包括参照公务员法管理的事业单位）运行用于购买货物和服务的各项资金，包括 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BA23E0" w:rsidSect="00BA2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5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6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8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B6C0FA3"/>
    <w:multiLevelType w:val="singleLevel"/>
    <w:tmpl w:val="5B6C0FA3"/>
    <w:lvl w:ilvl="0">
      <w:start w:val="1"/>
      <w:numFmt w:val="decimal"/>
      <w:suff w:val="nothing"/>
      <w:lvlText w:val="%1、"/>
      <w:lvlJc w:val="left"/>
    </w:lvl>
  </w:abstractNum>
  <w:abstractNum w:abstractNumId="10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11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2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</w:lvl>
  </w:abstractNum>
  <w:abstractNum w:abstractNumId="13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C54356"/>
    <w:rsid w:val="00001E5B"/>
    <w:rsid w:val="0004575D"/>
    <w:rsid w:val="00045C5A"/>
    <w:rsid w:val="00063306"/>
    <w:rsid w:val="0008362D"/>
    <w:rsid w:val="00094185"/>
    <w:rsid w:val="000B4668"/>
    <w:rsid w:val="000D0946"/>
    <w:rsid w:val="000E2E73"/>
    <w:rsid w:val="000E3702"/>
    <w:rsid w:val="000F1AD0"/>
    <w:rsid w:val="000F619E"/>
    <w:rsid w:val="001004AD"/>
    <w:rsid w:val="001600FA"/>
    <w:rsid w:val="00162B9B"/>
    <w:rsid w:val="00164D70"/>
    <w:rsid w:val="00187689"/>
    <w:rsid w:val="001D1F8F"/>
    <w:rsid w:val="001D68D8"/>
    <w:rsid w:val="001D7CB4"/>
    <w:rsid w:val="001E6542"/>
    <w:rsid w:val="001F5A73"/>
    <w:rsid w:val="002136AA"/>
    <w:rsid w:val="00214DE9"/>
    <w:rsid w:val="00231059"/>
    <w:rsid w:val="00252962"/>
    <w:rsid w:val="00271427"/>
    <w:rsid w:val="002902F9"/>
    <w:rsid w:val="002C1727"/>
    <w:rsid w:val="00351FCD"/>
    <w:rsid w:val="00353361"/>
    <w:rsid w:val="00363BF3"/>
    <w:rsid w:val="003A3CDD"/>
    <w:rsid w:val="003A6C5F"/>
    <w:rsid w:val="003E7587"/>
    <w:rsid w:val="003F67D8"/>
    <w:rsid w:val="003F6B6A"/>
    <w:rsid w:val="00411F24"/>
    <w:rsid w:val="004347D9"/>
    <w:rsid w:val="00434F7D"/>
    <w:rsid w:val="00450EA8"/>
    <w:rsid w:val="00460553"/>
    <w:rsid w:val="004A055F"/>
    <w:rsid w:val="004C4775"/>
    <w:rsid w:val="004D5F8B"/>
    <w:rsid w:val="004D64D4"/>
    <w:rsid w:val="004E1ADB"/>
    <w:rsid w:val="004E23C4"/>
    <w:rsid w:val="004F0071"/>
    <w:rsid w:val="004F2117"/>
    <w:rsid w:val="005017D5"/>
    <w:rsid w:val="00522427"/>
    <w:rsid w:val="00522CB8"/>
    <w:rsid w:val="00613465"/>
    <w:rsid w:val="00626E1E"/>
    <w:rsid w:val="00627BCC"/>
    <w:rsid w:val="00642200"/>
    <w:rsid w:val="0066503B"/>
    <w:rsid w:val="00694E76"/>
    <w:rsid w:val="006A591D"/>
    <w:rsid w:val="006E0B80"/>
    <w:rsid w:val="006F1271"/>
    <w:rsid w:val="00730527"/>
    <w:rsid w:val="00741771"/>
    <w:rsid w:val="00761FBF"/>
    <w:rsid w:val="00771F6F"/>
    <w:rsid w:val="007B1737"/>
    <w:rsid w:val="007C1087"/>
    <w:rsid w:val="007D1D5B"/>
    <w:rsid w:val="007F1079"/>
    <w:rsid w:val="008118F4"/>
    <w:rsid w:val="0081259B"/>
    <w:rsid w:val="00816A9C"/>
    <w:rsid w:val="00823240"/>
    <w:rsid w:val="00826DEE"/>
    <w:rsid w:val="00830AEE"/>
    <w:rsid w:val="0083207D"/>
    <w:rsid w:val="00883846"/>
    <w:rsid w:val="00896320"/>
    <w:rsid w:val="008A2BC2"/>
    <w:rsid w:val="008A3E8C"/>
    <w:rsid w:val="008B7300"/>
    <w:rsid w:val="008C0A1E"/>
    <w:rsid w:val="008D51F8"/>
    <w:rsid w:val="008E05A2"/>
    <w:rsid w:val="008E68E6"/>
    <w:rsid w:val="008F6C97"/>
    <w:rsid w:val="009358C4"/>
    <w:rsid w:val="00961261"/>
    <w:rsid w:val="00964356"/>
    <w:rsid w:val="00964C86"/>
    <w:rsid w:val="00996F88"/>
    <w:rsid w:val="009A21B8"/>
    <w:rsid w:val="009D6669"/>
    <w:rsid w:val="00A11D8F"/>
    <w:rsid w:val="00A51DCB"/>
    <w:rsid w:val="00A74FE1"/>
    <w:rsid w:val="00A8213C"/>
    <w:rsid w:val="00AB4937"/>
    <w:rsid w:val="00AB5F29"/>
    <w:rsid w:val="00AD2773"/>
    <w:rsid w:val="00AD7A71"/>
    <w:rsid w:val="00AE5D83"/>
    <w:rsid w:val="00AF2578"/>
    <w:rsid w:val="00AF3262"/>
    <w:rsid w:val="00B02393"/>
    <w:rsid w:val="00B13150"/>
    <w:rsid w:val="00B14031"/>
    <w:rsid w:val="00B1535C"/>
    <w:rsid w:val="00B179BA"/>
    <w:rsid w:val="00B23091"/>
    <w:rsid w:val="00B2621D"/>
    <w:rsid w:val="00BA23E0"/>
    <w:rsid w:val="00BC3C31"/>
    <w:rsid w:val="00BF6F79"/>
    <w:rsid w:val="00C06277"/>
    <w:rsid w:val="00C06FAA"/>
    <w:rsid w:val="00C21054"/>
    <w:rsid w:val="00C4438C"/>
    <w:rsid w:val="00C918BC"/>
    <w:rsid w:val="00CD226A"/>
    <w:rsid w:val="00D13110"/>
    <w:rsid w:val="00D277C4"/>
    <w:rsid w:val="00D375AD"/>
    <w:rsid w:val="00D4382B"/>
    <w:rsid w:val="00D57DEB"/>
    <w:rsid w:val="00DB69F5"/>
    <w:rsid w:val="00DC2BD0"/>
    <w:rsid w:val="00DE2CEB"/>
    <w:rsid w:val="00DE6272"/>
    <w:rsid w:val="00DF00F7"/>
    <w:rsid w:val="00DF7164"/>
    <w:rsid w:val="00E009A6"/>
    <w:rsid w:val="00E36FA0"/>
    <w:rsid w:val="00E52D40"/>
    <w:rsid w:val="00E941D7"/>
    <w:rsid w:val="00F0053B"/>
    <w:rsid w:val="00F05F9F"/>
    <w:rsid w:val="00F1614E"/>
    <w:rsid w:val="00F344B1"/>
    <w:rsid w:val="00F57CE1"/>
    <w:rsid w:val="00F7095B"/>
    <w:rsid w:val="00F73C9C"/>
    <w:rsid w:val="00F874A9"/>
    <w:rsid w:val="00FA0B31"/>
    <w:rsid w:val="00FB7DDA"/>
    <w:rsid w:val="00FD0DF1"/>
    <w:rsid w:val="00FD2DC2"/>
    <w:rsid w:val="00FD701A"/>
    <w:rsid w:val="00FF0CED"/>
    <w:rsid w:val="018F6D8B"/>
    <w:rsid w:val="06194023"/>
    <w:rsid w:val="063A7ED7"/>
    <w:rsid w:val="066D430C"/>
    <w:rsid w:val="08FF1A13"/>
    <w:rsid w:val="0AE74A9E"/>
    <w:rsid w:val="0B3C60D7"/>
    <w:rsid w:val="0B8F41AA"/>
    <w:rsid w:val="0EF83D82"/>
    <w:rsid w:val="13FA6BA0"/>
    <w:rsid w:val="154C251B"/>
    <w:rsid w:val="16A05755"/>
    <w:rsid w:val="175354F6"/>
    <w:rsid w:val="178D0DA6"/>
    <w:rsid w:val="1AAA4A96"/>
    <w:rsid w:val="1AAC0579"/>
    <w:rsid w:val="1B1B50D8"/>
    <w:rsid w:val="1B8703E5"/>
    <w:rsid w:val="242B68BD"/>
    <w:rsid w:val="249F7974"/>
    <w:rsid w:val="24D90E0E"/>
    <w:rsid w:val="27566061"/>
    <w:rsid w:val="288B507C"/>
    <w:rsid w:val="2C844552"/>
    <w:rsid w:val="2F0B693F"/>
    <w:rsid w:val="307A4D17"/>
    <w:rsid w:val="317E0ED1"/>
    <w:rsid w:val="34C54356"/>
    <w:rsid w:val="370F2025"/>
    <w:rsid w:val="37B4371B"/>
    <w:rsid w:val="38555E14"/>
    <w:rsid w:val="38667CBA"/>
    <w:rsid w:val="3A8158CC"/>
    <w:rsid w:val="3DAC4792"/>
    <w:rsid w:val="3F6841AE"/>
    <w:rsid w:val="3FE7363B"/>
    <w:rsid w:val="42C678B3"/>
    <w:rsid w:val="43895888"/>
    <w:rsid w:val="46235E03"/>
    <w:rsid w:val="4A03128D"/>
    <w:rsid w:val="4A6064BB"/>
    <w:rsid w:val="4E370D57"/>
    <w:rsid w:val="4E9D5EAE"/>
    <w:rsid w:val="4ECB12F4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61287A15"/>
    <w:rsid w:val="66061FD6"/>
    <w:rsid w:val="69156D2A"/>
    <w:rsid w:val="6C020FDF"/>
    <w:rsid w:val="707740EF"/>
    <w:rsid w:val="731D0281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3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A23E0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BA23E0"/>
    <w:rPr>
      <w:b/>
    </w:rPr>
  </w:style>
  <w:style w:type="character" w:styleId="a5">
    <w:name w:val="Hyperlink"/>
    <w:basedOn w:val="a0"/>
    <w:rsid w:val="00BA23E0"/>
    <w:rPr>
      <w:color w:val="0000FF"/>
      <w:u w:val="single"/>
    </w:rPr>
  </w:style>
  <w:style w:type="table" w:styleId="a6">
    <w:name w:val="Table Grid"/>
    <w:basedOn w:val="a1"/>
    <w:qFormat/>
    <w:rsid w:val="00BA2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E36FA0"/>
    <w:rPr>
      <w:sz w:val="18"/>
      <w:szCs w:val="18"/>
    </w:rPr>
  </w:style>
  <w:style w:type="character" w:customStyle="1" w:styleId="Char">
    <w:name w:val="批注框文本 Char"/>
    <w:basedOn w:val="a0"/>
    <w:link w:val="a7"/>
    <w:rsid w:val="00E36FA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2224B-7C62-4B36-BE90-CC55ADD2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3</cp:revision>
  <dcterms:created xsi:type="dcterms:W3CDTF">2019-03-07T03:26:00Z</dcterms:created>
  <dcterms:modified xsi:type="dcterms:W3CDTF">2018-10-29T08:51:00Z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