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6D458A" w:rsidRDefault="00532AF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201</w:t>
      </w:r>
      <w:r>
        <w:rPr>
          <w:rStyle w:val="a4"/>
          <w:rFonts w:ascii="宋体" w:eastAsia="宋体" w:hAnsi="宋体" w:cs="宋体" w:hint="eastAsia"/>
          <w:color w:val="000000"/>
          <w:sz w:val="52"/>
          <w:szCs w:val="52"/>
          <w:shd w:val="clear" w:color="auto" w:fill="FFFFFF"/>
        </w:rPr>
        <w:t>7</w:t>
      </w: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年度</w:t>
      </w: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6D458A" w:rsidRDefault="00532AF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eastAsia="宋体" w:hAnsi="宋体" w:cs="宋体"/>
          <w:b/>
          <w:color w:val="000000"/>
          <w:sz w:val="52"/>
          <w:szCs w:val="52"/>
        </w:rPr>
      </w:pP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部门决算</w:t>
      </w:r>
      <w:r>
        <w:rPr>
          <w:rStyle w:val="a4"/>
          <w:rFonts w:ascii="宋体" w:eastAsia="宋体" w:hAnsi="宋体" w:cs="宋体" w:hint="eastAsia"/>
          <w:color w:val="000000"/>
          <w:sz w:val="52"/>
          <w:szCs w:val="52"/>
          <w:shd w:val="clear" w:color="auto" w:fill="FFFFFF"/>
        </w:rPr>
        <w:t>公开</w:t>
      </w: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D458A" w:rsidRDefault="00532AF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南宫市教师进修学校</w:t>
      </w:r>
    </w:p>
    <w:p w:rsidR="006D458A" w:rsidRDefault="00532AF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2018</w:t>
      </w: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10</w:t>
      </w: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月</w:t>
      </w:r>
    </w:p>
    <w:p w:rsidR="006D458A" w:rsidRDefault="006D458A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6D458A" w:rsidRDefault="006D458A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6D458A" w:rsidRDefault="006D458A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6D458A" w:rsidRDefault="006D458A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6D458A" w:rsidRDefault="00532AFA">
      <w:pPr>
        <w:widowControl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lastRenderedPageBreak/>
        <w:t>目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 xml:space="preserve"> 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录</w:t>
      </w:r>
    </w:p>
    <w:p w:rsidR="006D458A" w:rsidRDefault="00532AFA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 </w:t>
      </w:r>
    </w:p>
    <w:p w:rsidR="006D458A" w:rsidRDefault="00532AFA">
      <w:pPr>
        <w:widowControl/>
        <w:spacing w:line="580" w:lineRule="exact"/>
        <w:jc w:val="left"/>
        <w:rPr>
          <w:rFonts w:eastAsia="黑体" w:cs="宋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第一部分</w:t>
      </w:r>
      <w:r>
        <w:rPr>
          <w:rFonts w:eastAsia="黑体" w:hint="eastAsia"/>
          <w:kern w:val="0"/>
          <w:sz w:val="32"/>
          <w:szCs w:val="32"/>
        </w:rPr>
        <w:t xml:space="preserve">  </w:t>
      </w:r>
      <w:r>
        <w:rPr>
          <w:rFonts w:eastAsia="黑体" w:hint="eastAsia"/>
          <w:kern w:val="0"/>
          <w:sz w:val="32"/>
          <w:szCs w:val="32"/>
        </w:rPr>
        <w:t>南宫市教师进修学校</w:t>
      </w:r>
      <w:r>
        <w:rPr>
          <w:rFonts w:eastAsia="黑体" w:cs="宋体" w:hint="eastAsia"/>
          <w:kern w:val="0"/>
          <w:sz w:val="32"/>
          <w:szCs w:val="32"/>
        </w:rPr>
        <w:t>部门概况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主要职能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二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部门组成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hint="eastAsia"/>
          <w:kern w:val="0"/>
          <w:sz w:val="32"/>
          <w:szCs w:val="32"/>
        </w:rPr>
        <w:t>第二部分</w:t>
      </w:r>
      <w:r>
        <w:rPr>
          <w:rFonts w:eastAsia="黑体" w:hint="eastAsia"/>
          <w:kern w:val="0"/>
          <w:sz w:val="32"/>
          <w:szCs w:val="32"/>
        </w:rPr>
        <w:t xml:space="preserve">  </w:t>
      </w:r>
      <w:r>
        <w:rPr>
          <w:rFonts w:eastAsia="黑体" w:hint="eastAsia"/>
          <w:kern w:val="0"/>
          <w:sz w:val="32"/>
          <w:szCs w:val="32"/>
        </w:rPr>
        <w:t>南宫市教师进修学校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年度部门决算表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收入支出决算总表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二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收入决算表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三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支出决算表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四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财政拨款收入支出决算总表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五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一般公共预算财政拨款收入支出决算表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六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一般公共预算财政拨款基本支出决算经济分类表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七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政府性基金预算财政拨款收入支出决算表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八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国有资本经营预算财政拨款收入支出决算表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九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经费等相关信息统计表</w:t>
      </w:r>
    </w:p>
    <w:p w:rsidR="006D458A" w:rsidRDefault="00532AFA">
      <w:pPr>
        <w:widowControl/>
        <w:spacing w:line="580" w:lineRule="exact"/>
        <w:ind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十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政府采购情况表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hint="eastAsia"/>
          <w:kern w:val="0"/>
          <w:sz w:val="32"/>
          <w:szCs w:val="32"/>
        </w:rPr>
        <w:t>第三部分</w:t>
      </w:r>
      <w:r>
        <w:rPr>
          <w:rFonts w:eastAsia="黑体" w:hint="eastAsia"/>
          <w:kern w:val="0"/>
          <w:sz w:val="32"/>
          <w:szCs w:val="32"/>
        </w:rPr>
        <w:t xml:space="preserve">  </w:t>
      </w:r>
      <w:r>
        <w:rPr>
          <w:rFonts w:eastAsia="黑体" w:hint="eastAsia"/>
          <w:kern w:val="0"/>
          <w:sz w:val="32"/>
          <w:szCs w:val="32"/>
        </w:rPr>
        <w:t>南宫市教师进修学校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年部门决算情况说明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收入支出决算总体情况说明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二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收入决算情况说明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三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支出决算情况说明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四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财政拨款收入支出决算总体情况说明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五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经费支出决算情况说明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六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预算绩效管理工作开展情况说明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七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其他重要事项的说明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 xml:space="preserve">        </w:t>
      </w:r>
      <w:r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 w:hAnsi="宋体" w:cs="宋体" w:hint="eastAsia"/>
          <w:kern w:val="0"/>
          <w:sz w:val="32"/>
          <w:szCs w:val="32"/>
        </w:rPr>
        <w:t>机关运行经费情况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 w:hAnsi="宋体" w:cs="宋体" w:hint="eastAsia"/>
          <w:kern w:val="0"/>
          <w:sz w:val="32"/>
          <w:szCs w:val="32"/>
        </w:rPr>
        <w:t>政府采购情况</w:t>
      </w: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 w:hAnsi="宋体" w:cs="宋体" w:hint="eastAsia"/>
          <w:kern w:val="0"/>
          <w:sz w:val="32"/>
          <w:szCs w:val="32"/>
        </w:rPr>
        <w:t>国有资产占用情况</w:t>
      </w:r>
    </w:p>
    <w:p w:rsidR="006D458A" w:rsidRDefault="00532AFA">
      <w:pPr>
        <w:widowControl/>
        <w:spacing w:line="580" w:lineRule="exact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4.</w:t>
      </w:r>
      <w:r>
        <w:rPr>
          <w:rFonts w:eastAsia="仿宋_GB2312" w:hAnsi="宋体" w:cs="宋体" w:hint="eastAsia"/>
          <w:kern w:val="0"/>
          <w:sz w:val="32"/>
          <w:szCs w:val="32"/>
        </w:rPr>
        <w:t>其他需要说明的情况</w:t>
      </w:r>
    </w:p>
    <w:p w:rsidR="006D458A" w:rsidRDefault="00532AFA" w:rsidP="00AD74FD">
      <w:pPr>
        <w:widowControl/>
        <w:spacing w:beforeLines="50" w:afterLines="50" w:line="5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八）其他需要说明的问题</w:t>
      </w:r>
      <w:r>
        <w:rPr>
          <w:rFonts w:eastAsia="仿宋_GB2312" w:hAnsi="宋体" w:cs="宋体" w:hint="eastAsia"/>
          <w:kern w:val="0"/>
          <w:sz w:val="32"/>
          <w:szCs w:val="32"/>
        </w:rPr>
        <w:t xml:space="preserve">  </w:t>
      </w:r>
    </w:p>
    <w:p w:rsidR="006D458A" w:rsidRDefault="006D458A">
      <w:pPr>
        <w:widowControl/>
        <w:spacing w:line="580" w:lineRule="exact"/>
        <w:jc w:val="left"/>
        <w:rPr>
          <w:rFonts w:eastAsia="仿宋_GB2312" w:hAnsi="宋体" w:cs="宋体"/>
          <w:kern w:val="0"/>
          <w:sz w:val="32"/>
          <w:szCs w:val="32"/>
        </w:rPr>
      </w:pPr>
    </w:p>
    <w:p w:rsidR="006D458A" w:rsidRDefault="00532AF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第四部分</w:t>
      </w:r>
      <w:r>
        <w:rPr>
          <w:rFonts w:eastAsia="黑体" w:cs="宋体" w:hint="eastAsia"/>
          <w:kern w:val="0"/>
          <w:sz w:val="32"/>
          <w:szCs w:val="32"/>
        </w:rPr>
        <w:t xml:space="preserve">  </w:t>
      </w:r>
      <w:r>
        <w:rPr>
          <w:rFonts w:eastAsia="黑体" w:cs="宋体" w:hint="eastAsia"/>
          <w:kern w:val="0"/>
          <w:sz w:val="32"/>
          <w:szCs w:val="32"/>
        </w:rPr>
        <w:t>名词解释</w:t>
      </w:r>
    </w:p>
    <w:p w:rsidR="006D458A" w:rsidRDefault="00532AFA">
      <w:pPr>
        <w:widowControl/>
        <w:spacing w:line="5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一、部门决算</w:t>
      </w:r>
      <w:r>
        <w:rPr>
          <w:rFonts w:eastAsia="仿宋_GB2312" w:hAnsi="宋体" w:cs="宋体" w:hint="eastAsia"/>
          <w:kern w:val="0"/>
          <w:sz w:val="32"/>
          <w:szCs w:val="32"/>
        </w:rPr>
        <w:t xml:space="preserve"> </w:t>
      </w:r>
    </w:p>
    <w:p w:rsidR="006D458A" w:rsidRDefault="00532AFA">
      <w:pPr>
        <w:widowControl/>
        <w:spacing w:line="5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二、财政拨款收入</w:t>
      </w:r>
      <w:r>
        <w:rPr>
          <w:rFonts w:eastAsia="仿宋_GB2312" w:hAnsi="宋体" w:cs="宋体" w:hint="eastAsia"/>
          <w:kern w:val="0"/>
          <w:sz w:val="32"/>
          <w:szCs w:val="32"/>
        </w:rPr>
        <w:t xml:space="preserve"> </w:t>
      </w:r>
    </w:p>
    <w:p w:rsidR="006D458A" w:rsidRDefault="00532AFA">
      <w:pPr>
        <w:widowControl/>
        <w:spacing w:line="5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三、其他收入</w:t>
      </w:r>
    </w:p>
    <w:p w:rsidR="006D458A" w:rsidRDefault="00532AFA">
      <w:pPr>
        <w:widowControl/>
        <w:spacing w:line="5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四、年初结转和结余</w:t>
      </w:r>
      <w:r>
        <w:rPr>
          <w:rFonts w:eastAsia="仿宋_GB2312" w:hAnsi="宋体" w:cs="宋体" w:hint="eastAsia"/>
          <w:kern w:val="0"/>
          <w:sz w:val="32"/>
          <w:szCs w:val="32"/>
        </w:rPr>
        <w:t xml:space="preserve"> </w:t>
      </w:r>
    </w:p>
    <w:p w:rsidR="006D458A" w:rsidRDefault="00532AFA">
      <w:pPr>
        <w:widowControl/>
        <w:spacing w:line="5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五、年末结转和结余</w:t>
      </w:r>
      <w:r>
        <w:rPr>
          <w:rFonts w:eastAsia="仿宋_GB2312" w:hAnsi="宋体" w:cs="宋体" w:hint="eastAsia"/>
          <w:kern w:val="0"/>
          <w:sz w:val="32"/>
          <w:szCs w:val="32"/>
        </w:rPr>
        <w:t xml:space="preserve"> </w:t>
      </w:r>
    </w:p>
    <w:p w:rsidR="006D458A" w:rsidRDefault="00532AFA">
      <w:pPr>
        <w:widowControl/>
        <w:spacing w:line="5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六、基本支出</w:t>
      </w:r>
      <w:r>
        <w:rPr>
          <w:rFonts w:eastAsia="仿宋_GB2312" w:hAnsi="宋体" w:cs="宋体" w:hint="eastAsia"/>
          <w:kern w:val="0"/>
          <w:sz w:val="32"/>
          <w:szCs w:val="32"/>
        </w:rPr>
        <w:t xml:space="preserve"> </w:t>
      </w:r>
    </w:p>
    <w:p w:rsidR="006D458A" w:rsidRDefault="00532AFA">
      <w:pPr>
        <w:widowControl/>
        <w:spacing w:line="5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七、“三公”经费</w:t>
      </w:r>
    </w:p>
    <w:p w:rsidR="006D458A" w:rsidRDefault="00532AFA">
      <w:pPr>
        <w:widowControl/>
        <w:spacing w:line="5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八、机关运行经费</w:t>
      </w:r>
      <w:r>
        <w:rPr>
          <w:rFonts w:eastAsia="仿宋_GB2312" w:hAnsi="宋体" w:cs="宋体" w:hint="eastAsia"/>
          <w:kern w:val="0"/>
          <w:sz w:val="32"/>
          <w:szCs w:val="32"/>
        </w:rPr>
        <w:t xml:space="preserve"> </w:t>
      </w:r>
    </w:p>
    <w:p w:rsidR="006D458A" w:rsidRDefault="00532AFA">
      <w:pPr>
        <w:widowControl/>
        <w:spacing w:line="5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九、一般公共服务支出</w:t>
      </w:r>
    </w:p>
    <w:p w:rsidR="006D458A" w:rsidRDefault="00532AFA">
      <w:pPr>
        <w:widowControl/>
        <w:spacing w:line="5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十、其他交通费</w:t>
      </w:r>
      <w:r>
        <w:rPr>
          <w:rFonts w:eastAsia="仿宋_GB2312" w:hAnsi="宋体" w:cs="宋体" w:hint="eastAsia"/>
          <w:kern w:val="0"/>
          <w:sz w:val="32"/>
          <w:szCs w:val="32"/>
        </w:rPr>
        <w:t xml:space="preserve"> </w:t>
      </w:r>
    </w:p>
    <w:p w:rsidR="006D458A" w:rsidRDefault="00532AFA">
      <w:pPr>
        <w:widowControl/>
        <w:spacing w:line="5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十一、社会保障和就业支出</w:t>
      </w:r>
    </w:p>
    <w:p w:rsidR="006D458A" w:rsidRDefault="006D458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  <w:shd w:val="clear" w:color="auto" w:fill="FFFFFF"/>
        </w:rPr>
      </w:pPr>
    </w:p>
    <w:p w:rsidR="006D458A" w:rsidRDefault="00532AFA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第一部分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部门概况</w:t>
      </w:r>
    </w:p>
    <w:p w:rsidR="006D458A" w:rsidRDefault="00532AFA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  <w:t xml:space="preserve">　　</w:t>
      </w:r>
    </w:p>
    <w:p w:rsidR="006D458A" w:rsidRDefault="00532AFA" w:rsidP="00AD74FD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Lines="50" w:beforeAutospacing="0" w:afterLines="100" w:afterAutospacing="0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主要职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能</w:t>
      </w:r>
    </w:p>
    <w:p w:rsidR="006D458A" w:rsidRDefault="00532AFA" w:rsidP="00AD74FD">
      <w:pPr>
        <w:pStyle w:val="a3"/>
        <w:widowControl/>
        <w:shd w:val="clear" w:color="auto" w:fill="FFFFFF"/>
        <w:adjustRightInd w:val="0"/>
        <w:snapToGrid w:val="0"/>
        <w:spacing w:beforeLines="50" w:beforeAutospacing="0" w:afterLines="10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培养中专学历师资人才，促进教育事业发展。（教育学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政治学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数学…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…）学科中专学历教育。相关教学研究：小学教学研究、幼儿教学研究。相关继续教育培训：在职小学教师学历补偿教育、在职小学教师继续教育、在职幼儿教师学历补偿教育、在职幼儿教师继续教育、新聘教师岗前培训、中小学校长资格培训及提高培训。（相关社会服务）</w:t>
      </w:r>
    </w:p>
    <w:p w:rsidR="006D458A" w:rsidRDefault="00532AFA" w:rsidP="00AD74FD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Lines="50" w:beforeAutospacing="0" w:afterLines="10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部门组成</w:t>
      </w:r>
    </w:p>
    <w:p w:rsidR="006D458A" w:rsidRDefault="00532AFA" w:rsidP="00AD74FD">
      <w:pPr>
        <w:pStyle w:val="a3"/>
        <w:widowControl/>
        <w:shd w:val="clear" w:color="auto" w:fill="FFFFFF"/>
        <w:adjustRightInd w:val="0"/>
        <w:snapToGrid w:val="0"/>
        <w:spacing w:beforeLines="50" w:beforeAutospacing="0" w:afterLines="10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本部门由以下基层单位构成：南宫市教师进修学校</w:t>
      </w:r>
    </w:p>
    <w:p w:rsidR="006D458A" w:rsidRDefault="006D458A" w:rsidP="00AD74FD">
      <w:pPr>
        <w:pStyle w:val="a3"/>
        <w:widowControl/>
        <w:shd w:val="clear" w:color="auto" w:fill="FFFFFF"/>
        <w:adjustRightInd w:val="0"/>
        <w:snapToGrid w:val="0"/>
        <w:spacing w:beforeLines="50" w:beforeAutospacing="0" w:afterLines="10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widowControl/>
        <w:spacing w:line="580" w:lineRule="exact"/>
        <w:jc w:val="left"/>
        <w:rPr>
          <w:rFonts w:asciiTheme="majorEastAsia" w:eastAsiaTheme="majorEastAsia" w:hAnsiTheme="majorEastAsia" w:cstheme="majorEastAsia"/>
          <w:b/>
          <w:bCs/>
          <w:kern w:val="0"/>
          <w:sz w:val="32"/>
          <w:szCs w:val="32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widowControl/>
        <w:spacing w:line="580" w:lineRule="exac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6D45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D458A" w:rsidRDefault="006D458A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widowControl/>
        <w:spacing w:line="580" w:lineRule="exac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D458A" w:rsidRDefault="00532AFA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  <w:shd w:val="clear" w:color="auto" w:fill="FFFFFF"/>
        </w:rPr>
        <w:t>第二部分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  <w:shd w:val="clear" w:color="auto" w:fill="FFFFFF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2017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年部门决算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表</w:t>
      </w:r>
    </w:p>
    <w:p w:rsidR="006D458A" w:rsidRDefault="006D458A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D458A" w:rsidRDefault="006D458A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6D458A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6D458A" w:rsidRDefault="00532AFA">
      <w:pPr>
        <w:widowControl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-38735</wp:posOffset>
            </wp:positionV>
            <wp:extent cx="9860280" cy="7222490"/>
            <wp:effectExtent l="0" t="0" r="7620" b="16510"/>
            <wp:wrapSquare wrapText="bothSides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477" r="763"/>
                    <a:stretch>
                      <a:fillRect/>
                    </a:stretch>
                  </pic:blipFill>
                  <pic:spPr>
                    <a:xfrm>
                      <a:off x="0" y="0"/>
                      <a:ext cx="9860280" cy="722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58A" w:rsidRDefault="006D458A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6D458A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6D458A" w:rsidRDefault="00532AFA">
      <w:pPr>
        <w:widowControl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10156825" cy="4993005"/>
            <wp:effectExtent l="0" t="0" r="15875" b="171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2272" t="837" r="1988" b="29835"/>
                    <a:stretch>
                      <a:fillRect/>
                    </a:stretch>
                  </pic:blipFill>
                  <pic:spPr>
                    <a:xfrm>
                      <a:off x="0" y="0"/>
                      <a:ext cx="10156825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8A" w:rsidRDefault="00532AFA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859010" cy="4907280"/>
            <wp:effectExtent l="0" t="0" r="8890" b="762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2264" r="2362" b="32763"/>
                    <a:stretch>
                      <a:fillRect/>
                    </a:stretch>
                  </pic:blipFill>
                  <pic:spPr>
                    <a:xfrm>
                      <a:off x="0" y="0"/>
                      <a:ext cx="9859010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8A" w:rsidRDefault="00532AFA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676765" cy="6831965"/>
            <wp:effectExtent l="0" t="0" r="635" b="698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6765" cy="68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8A" w:rsidRDefault="00532AFA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959340" cy="4335780"/>
            <wp:effectExtent l="0" t="0" r="3810" b="762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b="38340"/>
                    <a:stretch>
                      <a:fillRect/>
                    </a:stretch>
                  </pic:blipFill>
                  <pic:spPr>
                    <a:xfrm>
                      <a:off x="0" y="0"/>
                      <a:ext cx="995934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8A" w:rsidRDefault="00532AFA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649460" cy="6831965"/>
            <wp:effectExtent l="0" t="0" r="8890" b="698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9460" cy="68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8A" w:rsidRDefault="006D458A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 w:rsidRPr="006D458A">
        <w:rPr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9.5pt;margin-top:466.8pt;width:221.95pt;height:46.5pt;z-index:251665408" o:gfxdata="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9XWfNcAAAAOAQAADwAAAAAAAAABACAAAAAiAAAAZHJzL2Rvd25yZXYu&#10;eG1sUEsBAhQAFAAAAAgAh07iQLnHt6U1AgAAQwQAAA4AAAAAAAAAAQAgAAAAJgEAAGRycy9lMm9E&#10;b2MueG1sUEsFBgAAAAAGAAYAWQEAAM0FAAAAAA==&#10;" fillcolor="white [3201]" stroked="f" strokeweight=".5pt">
            <v:textbox>
              <w:txbxContent>
                <w:p w:rsidR="006D458A" w:rsidRDefault="00532AFA">
                  <w:r>
                    <w:rPr>
                      <w:rFonts w:hint="eastAsia"/>
                    </w:rPr>
                    <w:t>注：此表为空表列示</w:t>
                  </w:r>
                </w:p>
              </w:txbxContent>
            </v:textbox>
          </v:shape>
        </w:pict>
      </w:r>
      <w:r w:rsidR="00532AFA"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10045065" cy="4098290"/>
            <wp:effectExtent l="0" t="0" r="13335" b="16510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b="42104"/>
                    <a:stretch>
                      <a:fillRect/>
                    </a:stretch>
                  </pic:blipFill>
                  <pic:spPr>
                    <a:xfrm>
                      <a:off x="0" y="0"/>
                      <a:ext cx="1004506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8A" w:rsidRDefault="006D458A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 w:rsidRPr="006D458A">
        <w:rPr>
          <w:sz w:val="32"/>
        </w:rPr>
        <w:lastRenderedPageBreak/>
        <w:pict>
          <v:shape id="_x0000_s1029" type="#_x0000_t202" style="position:absolute;left:0;text-align:left;margin-left:547.5pt;margin-top:464.55pt;width:221.95pt;height:46.5pt;z-index:251663360" o:gfxdata="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rTHOnXAAAADgEAAA8AAAAAAAAAAQAgAAAAIgAAAGRycy9kb3ducmV2&#10;LnhtbFBLAQIUABQAAAAIAIdO4kASCMcGNgIAAEMEAAAOAAAAAAAAAAEAIAAAACYBAABkcnMvZTJv&#10;RG9jLnhtbFBLBQYAAAAABgAGAFkBAADOBQAAAAA=&#10;" fillcolor="white [3201]" stroked="f" strokeweight=".5pt">
            <v:textbox>
              <w:txbxContent>
                <w:p w:rsidR="006D458A" w:rsidRDefault="00532AFA">
                  <w:r>
                    <w:rPr>
                      <w:rFonts w:hint="eastAsia"/>
                    </w:rPr>
                    <w:t>注：此表为空表列示</w:t>
                  </w:r>
                </w:p>
              </w:txbxContent>
            </v:textbox>
          </v:shape>
        </w:pict>
      </w:r>
      <w:r w:rsidR="00532AFA"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10075545" cy="4984115"/>
            <wp:effectExtent l="0" t="0" r="1905" b="6985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2069" r="1872" b="32763"/>
                    <a:stretch>
                      <a:fillRect/>
                    </a:stretch>
                  </pic:blipFill>
                  <pic:spPr>
                    <a:xfrm>
                      <a:off x="0" y="0"/>
                      <a:ext cx="10075545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8A" w:rsidRDefault="00532AFA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881235" cy="5764530"/>
            <wp:effectExtent l="0" t="0" r="5715" b="7620"/>
            <wp:docPr id="9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l="2950" t="10038" r="2950" b="12129"/>
                    <a:stretch>
                      <a:fillRect/>
                    </a:stretch>
                  </pic:blipFill>
                  <pic:spPr>
                    <a:xfrm>
                      <a:off x="0" y="0"/>
                      <a:ext cx="9881235" cy="576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58A" w:rsidRPr="006D458A">
        <w:rPr>
          <w:sz w:val="32"/>
        </w:rPr>
        <w:pict>
          <v:shape id="_x0000_s1028" type="#_x0000_t202" style="position:absolute;left:0;text-align:left;margin-left:549.75pt;margin-top:481.75pt;width:221.95pt;height:45.8pt;z-index:251661312;mso-position-horizontal-relative:text;mso-position-vertical-relative:text" o:gfxdata="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m1qndcAAAAOAQAADwAAAAAAAAABACAAAAAiAAAAZHJzL2Rvd25yZXYu&#10;eG1sUEsBAhQAFAAAAAgAh07iQP88Kmo1AgAAQwQAAA4AAAAAAAAAAQAgAAAAJgEAAGRycy9lMm9E&#10;b2MueG1sUEsFBgAAAAAGAAYAWQEAAM0FAAAAAA==&#10;" fillcolor="white [3201]" stroked="f" strokeweight=".5pt">
            <v:textbox>
              <w:txbxContent>
                <w:p w:rsidR="006D458A" w:rsidRDefault="00532AFA">
                  <w:r>
                    <w:rPr>
                      <w:rFonts w:hint="eastAsia"/>
                    </w:rPr>
                    <w:t>注：此表为空表列示</w:t>
                  </w:r>
                </w:p>
              </w:txbxContent>
            </v:textbox>
          </v:shape>
        </w:pict>
      </w:r>
    </w:p>
    <w:p w:rsidR="006D458A" w:rsidRDefault="006D458A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 w:rsidRPr="006D458A">
        <w:rPr>
          <w:sz w:val="32"/>
        </w:rPr>
        <w:lastRenderedPageBreak/>
        <w:pict>
          <v:shape id="_x0000_s1027" type="#_x0000_t202" style="position:absolute;left:0;text-align:left;margin-left:573.75pt;margin-top:475.05pt;width:221.95pt;height:46.5pt;z-index:251659264" o:gfxdata="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SSZZp1wAAAA4BAAAPAAAAAAAAAAEAIAAAACIAAABk&#10;cnMvZG93bnJldi54bWxQSwECFAAUAAAACACHTuJAIjeeMkACAABPBAAADgAAAAAAAAABACAAAAAm&#10;AQAAZHJzL2Uyb0RvYy54bWxQSwUGAAAAAAYABgBZAQAA2AUAAAAA&#10;" fillcolor="white [3201]" stroked="f" strokeweight=".5pt">
            <v:textbox>
              <w:txbxContent>
                <w:p w:rsidR="006D458A" w:rsidRDefault="00532AFA">
                  <w:r>
                    <w:rPr>
                      <w:rFonts w:hint="eastAsia"/>
                    </w:rPr>
                    <w:t>注：此表为空表列示</w:t>
                  </w:r>
                </w:p>
              </w:txbxContent>
            </v:textbox>
          </v:shape>
        </w:pict>
      </w:r>
      <w:r w:rsidR="00532AFA"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9770110" cy="6820535"/>
            <wp:effectExtent l="0" t="0" r="2540" b="18415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l="3439" t="7102" r="2653"/>
                    <a:stretch>
                      <a:fillRect/>
                    </a:stretch>
                  </pic:blipFill>
                  <pic:spPr>
                    <a:xfrm>
                      <a:off x="0" y="0"/>
                      <a:ext cx="9770110" cy="682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8A" w:rsidRDefault="006D458A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6D458A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6D458A" w:rsidRDefault="00532AFA">
      <w:pPr>
        <w:widowControl/>
        <w:spacing w:line="580" w:lineRule="exac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  <w:shd w:val="clear" w:color="auto" w:fill="FFFFFF"/>
        </w:rPr>
        <w:lastRenderedPageBreak/>
        <w:t>第三部分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  <w:shd w:val="clear" w:color="auto" w:fill="FFFFFF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2017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年部门决算情况说明</w:t>
      </w:r>
    </w:p>
    <w:p w:rsidR="006D458A" w:rsidRDefault="00532AFA" w:rsidP="00AD74FD">
      <w:pPr>
        <w:widowControl/>
        <w:spacing w:beforeLines="100" w:afterLines="100" w:line="58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一、收入支出决算总体情况说明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南宫市教师进修学校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年度收入总计</w:t>
      </w:r>
      <w:r>
        <w:rPr>
          <w:rFonts w:ascii="仿宋_GB2312" w:eastAsia="仿宋_GB2312" w:hAnsi="仿宋_GB2312" w:cs="仿宋_GB2312" w:hint="eastAsia"/>
          <w:sz w:val="32"/>
          <w:szCs w:val="32"/>
        </w:rPr>
        <w:t>653.39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万元，支出总计</w:t>
      </w:r>
      <w:r>
        <w:rPr>
          <w:rFonts w:ascii="仿宋_GB2312" w:eastAsia="仿宋_GB2312" w:hAnsi="仿宋_GB2312" w:cs="仿宋_GB2312" w:hint="eastAsia"/>
          <w:sz w:val="32"/>
          <w:szCs w:val="32"/>
        </w:rPr>
        <w:t>653.39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年度收入总计</w:t>
      </w:r>
      <w:r>
        <w:rPr>
          <w:rFonts w:ascii="仿宋_GB2312" w:eastAsia="仿宋_GB2312" w:hAnsi="仿宋_GB2312" w:cs="仿宋_GB2312" w:hint="eastAsia"/>
          <w:sz w:val="32"/>
          <w:szCs w:val="32"/>
        </w:rPr>
        <w:t>516.45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万元，支出总计</w:t>
      </w:r>
      <w:r>
        <w:rPr>
          <w:rFonts w:ascii="仿宋_GB2312" w:eastAsia="仿宋_GB2312" w:hAnsi="仿宋_GB2312" w:cs="仿宋_GB2312" w:hint="eastAsia"/>
          <w:sz w:val="32"/>
          <w:szCs w:val="32"/>
        </w:rPr>
        <w:t>516.45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年相比，决算收支总计分别增加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136.94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万元，增加了</w:t>
      </w:r>
      <w:r>
        <w:rPr>
          <w:rFonts w:ascii="仿宋_GB2312" w:eastAsia="仿宋_GB2312" w:hAnsi="仿宋_GB2312" w:cs="仿宋_GB2312" w:hint="eastAsia"/>
          <w:sz w:val="32"/>
          <w:szCs w:val="32"/>
        </w:rPr>
        <w:t>20.96%</w:t>
      </w:r>
      <w:r>
        <w:rPr>
          <w:rFonts w:ascii="仿宋_GB2312" w:eastAsia="仿宋_GB2312" w:hAnsi="仿宋_GB2312" w:cs="仿宋_GB2312" w:hint="eastAsia"/>
          <w:sz w:val="32"/>
          <w:szCs w:val="32"/>
        </w:rPr>
        <w:t>。决算收入总计中，含年初结转和结余</w:t>
      </w:r>
      <w:r>
        <w:rPr>
          <w:rFonts w:ascii="仿宋_GB2312" w:eastAsia="仿宋_GB2312" w:hAnsi="仿宋_GB2312" w:cs="仿宋_GB2312" w:hint="eastAsia"/>
          <w:sz w:val="32"/>
          <w:szCs w:val="32"/>
        </w:rPr>
        <w:t>71.64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万元；决算支出总计中，年末结转和结余</w:t>
      </w:r>
      <w:r>
        <w:rPr>
          <w:rFonts w:ascii="仿宋_GB2312" w:eastAsia="仿宋_GB2312" w:hAnsi="仿宋_GB2312" w:cs="仿宋_GB2312" w:hint="eastAsia"/>
          <w:sz w:val="32"/>
          <w:szCs w:val="32"/>
        </w:rPr>
        <w:t>74.12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6D458A" w:rsidRDefault="00532AFA" w:rsidP="00AD74FD">
      <w:pPr>
        <w:widowControl/>
        <w:spacing w:beforeLines="100" w:afterLines="100" w:line="58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二、收入决算情况说明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年度财政拨款收入决算为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581.76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万元，较上年年初预算财政拨款收入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445.92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万元，增加了</w:t>
      </w:r>
      <w:r>
        <w:rPr>
          <w:rFonts w:ascii="仿宋_GB2312" w:eastAsia="仿宋_GB2312" w:hAnsi="仿宋_GB2312" w:cs="仿宋_GB2312" w:hint="eastAsia"/>
          <w:sz w:val="32"/>
          <w:szCs w:val="32"/>
        </w:rPr>
        <w:t>135.84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，主要是人员经费和项目经费增加。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度财政拨款收入决算为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581.76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年度财政拨款收入决算为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514.8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万元，增加了</w:t>
      </w:r>
      <w:r>
        <w:rPr>
          <w:rFonts w:ascii="仿宋_GB2312" w:eastAsia="仿宋_GB2312" w:hAnsi="仿宋_GB2312" w:cs="仿宋_GB2312" w:hint="eastAsia"/>
          <w:sz w:val="32"/>
          <w:szCs w:val="32"/>
        </w:rPr>
        <w:t>66.96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13%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，主要是人员经费和项目经费增加。</w:t>
      </w:r>
    </w:p>
    <w:p w:rsidR="006D458A" w:rsidRDefault="00532AFA" w:rsidP="00AD74FD">
      <w:pPr>
        <w:widowControl/>
        <w:spacing w:beforeLines="100" w:afterLines="100" w:line="58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三、支出决算情况说明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年度财政拨款支出决算为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579.28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万元，年初预算财政拨款支出为</w:t>
      </w:r>
      <w:r>
        <w:rPr>
          <w:rFonts w:ascii="仿宋_GB2312" w:eastAsia="仿宋_GB2312" w:hAnsi="仿宋_GB2312" w:cs="仿宋_GB2312" w:hint="eastAsia"/>
          <w:sz w:val="32"/>
          <w:szCs w:val="32"/>
        </w:rPr>
        <w:t>445.92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万元，增加了</w:t>
      </w:r>
      <w:r>
        <w:rPr>
          <w:rFonts w:ascii="仿宋_GB2312" w:eastAsia="仿宋_GB2312" w:hAnsi="仿宋_GB2312" w:cs="仿宋_GB2312" w:hint="eastAsia"/>
          <w:sz w:val="32"/>
          <w:szCs w:val="32"/>
        </w:rPr>
        <w:t>133.36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29%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，主要是人员经费和项目经费增加。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年度财政拨款支</w:t>
      </w:r>
      <w:r>
        <w:rPr>
          <w:rFonts w:ascii="仿宋_GB2312" w:eastAsia="仿宋_GB2312" w:hAnsi="仿宋_GB2312" w:cs="仿宋_GB2312" w:hint="eastAsia"/>
          <w:sz w:val="32"/>
          <w:szCs w:val="32"/>
        </w:rPr>
        <w:t>出决算为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579.28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年度财政拨款支出决算为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444.8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万元，增加了</w:t>
      </w:r>
      <w:r>
        <w:rPr>
          <w:rFonts w:ascii="仿宋_GB2312" w:eastAsia="仿宋_GB2312" w:hAnsi="仿宋_GB2312" w:cs="仿宋_GB2312" w:hint="eastAsia"/>
          <w:sz w:val="32"/>
          <w:szCs w:val="32"/>
        </w:rPr>
        <w:t>134.48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30.23%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，主要是人员经费和项目经费增加。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年年初预算支出为</w:t>
      </w:r>
      <w:r>
        <w:rPr>
          <w:rFonts w:ascii="仿宋_GB2312" w:eastAsia="仿宋_GB2312" w:hAnsi="仿宋_GB2312" w:cs="仿宋_GB2312" w:hint="eastAsia"/>
          <w:sz w:val="32"/>
          <w:szCs w:val="32"/>
        </w:rPr>
        <w:t>445.92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439.92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万元，其中：人员经费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377.22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万元；日常公用经费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62.7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万元。项目支出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年度年末支出决算为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579.28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其中：基本支出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560.08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万元、项目支出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19.20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年末结转和结余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4.12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万元。具体情况如下：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1. </w:t>
      </w:r>
      <w:r>
        <w:rPr>
          <w:rFonts w:ascii="仿宋_GB2312" w:eastAsia="仿宋_GB2312" w:hAnsi="仿宋_GB2312" w:cs="仿宋_GB2312" w:hint="eastAsia"/>
          <w:sz w:val="32"/>
          <w:szCs w:val="32"/>
        </w:rPr>
        <w:t>普通教育支出中其他普通教育支出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125.68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。主要用于全市教师全员培训及继续教育工作的开展。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sz w:val="32"/>
          <w:szCs w:val="32"/>
        </w:rPr>
        <w:t>进修及培训中的教师进修：</w:t>
      </w:r>
      <w:r>
        <w:rPr>
          <w:rFonts w:ascii="仿宋_GB2312" w:eastAsia="仿宋_GB2312" w:hAnsi="仿宋_GB2312" w:cs="仿宋_GB2312" w:hint="eastAsia"/>
          <w:sz w:val="32"/>
          <w:szCs w:val="32"/>
        </w:rPr>
        <w:t>449.55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万元。主要用于在职人员、离退休人员工资方面的支出。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社会保障和就业支出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4.04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万元。主要用于单位基本养老保险缴费。</w:t>
      </w:r>
    </w:p>
    <w:p w:rsidR="006D458A" w:rsidRDefault="00532AFA" w:rsidP="00AD74FD">
      <w:pPr>
        <w:spacing w:beforeLines="50" w:afterLines="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</w:t>
      </w:r>
      <w:r>
        <w:rPr>
          <w:rFonts w:ascii="仿宋_GB2312" w:eastAsia="仿宋_GB2312" w:hAnsi="仿宋_GB2312" w:cs="仿宋_GB2312" w:hint="eastAsia"/>
          <w:sz w:val="32"/>
          <w:szCs w:val="32"/>
        </w:rPr>
        <w:t>年末结转和结余</w:t>
      </w:r>
      <w:r>
        <w:rPr>
          <w:rFonts w:ascii="仿宋_GB2312" w:eastAsia="仿宋_GB2312" w:hAnsi="仿宋_GB2312" w:cs="仿宋_GB2312" w:hint="eastAsia"/>
          <w:sz w:val="32"/>
          <w:szCs w:val="32"/>
        </w:rPr>
        <w:t>74.12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万元。主要是我校按有关规定结转到下年继续使用的资金。</w:t>
      </w:r>
    </w:p>
    <w:p w:rsidR="006D458A" w:rsidRDefault="00532AFA" w:rsidP="00AD74FD">
      <w:pPr>
        <w:widowControl/>
        <w:spacing w:beforeLines="100" w:afterLines="100" w:line="58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四、财政拨款收入支出决算总体情况说明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收入支出预算安排情况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年度财政拨款收入预算安排为</w:t>
      </w:r>
      <w:r>
        <w:rPr>
          <w:rFonts w:ascii="仿宋_GB2312" w:eastAsia="仿宋_GB2312" w:hAnsi="仿宋_GB2312" w:cs="仿宋_GB2312" w:hint="eastAsia"/>
          <w:sz w:val="32"/>
          <w:szCs w:val="32"/>
        </w:rPr>
        <w:t>445.92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万元，财政拨款预算支出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445.92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439.92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万元，项目支出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6.00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年度财政拨款预算安排支出减少了</w:t>
      </w:r>
      <w:r>
        <w:rPr>
          <w:rFonts w:ascii="仿宋_GB2312" w:eastAsia="仿宋_GB2312" w:hAnsi="仿宋_GB2312" w:cs="仿宋_GB2312" w:hint="eastAsia"/>
          <w:sz w:val="32"/>
          <w:szCs w:val="32"/>
        </w:rPr>
        <w:t>8.98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万元，减幅为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1.97%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，主要是财政拨款减少。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（二）收入支出预算执行情况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、收入支出与预算对比分析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年度财政拨款收入决算为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581.76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万元，年初预算财政拨款收入为</w:t>
      </w:r>
      <w:r>
        <w:rPr>
          <w:rFonts w:ascii="仿宋_GB2312" w:eastAsia="仿宋_GB2312" w:hAnsi="仿宋_GB2312" w:cs="仿宋_GB2312" w:hint="eastAsia"/>
          <w:sz w:val="32"/>
          <w:szCs w:val="32"/>
        </w:rPr>
        <w:t>445.92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万元，增加了</w:t>
      </w:r>
      <w:r>
        <w:rPr>
          <w:rFonts w:ascii="仿宋_GB2312" w:eastAsia="仿宋_GB2312" w:hAnsi="仿宋_GB2312" w:cs="仿宋_GB2312" w:hint="eastAsia"/>
          <w:sz w:val="32"/>
          <w:szCs w:val="32"/>
        </w:rPr>
        <w:t>135.84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年度财政拨款收入决算为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581.76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年度财政拨款收入决算为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514.8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万元，增加了</w:t>
      </w:r>
      <w:r>
        <w:rPr>
          <w:rFonts w:ascii="仿宋_GB2312" w:eastAsia="仿宋_GB2312" w:hAnsi="仿宋_GB2312" w:cs="仿宋_GB2312" w:hint="eastAsia"/>
          <w:sz w:val="32"/>
          <w:szCs w:val="32"/>
        </w:rPr>
        <w:t>66.96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13%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年度总支出决算为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579.28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万元，支出决算按照功能分类情况：教育支出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575.24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万元，社会保障和</w:t>
      </w:r>
      <w:r>
        <w:rPr>
          <w:rFonts w:ascii="仿宋_GB2312" w:eastAsia="仿宋_GB2312" w:hAnsi="仿宋_GB2312" w:cs="仿宋_GB2312" w:hint="eastAsia"/>
          <w:sz w:val="32"/>
          <w:szCs w:val="32"/>
        </w:rPr>
        <w:t>就业支出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4.04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万元。按照支出性质情况：基本支出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560.08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万元，项目支出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19.2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元。按照经济分类情况：工资福利支出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312.55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万元，商品和服务支出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116.48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万元，对个人和家庭的补助支出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136.05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万元，其他资本性支出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14.2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6D458A" w:rsidRDefault="00532AFA">
      <w:pPr>
        <w:widowControl/>
        <w:numPr>
          <w:ilvl w:val="0"/>
          <w:numId w:val="2"/>
        </w:num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收入支出结构分析</w:t>
      </w:r>
    </w:p>
    <w:p w:rsidR="006D458A" w:rsidRDefault="00532AFA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年度决算总收入为</w:t>
      </w:r>
      <w:r>
        <w:rPr>
          <w:rFonts w:ascii="仿宋_GB2312" w:eastAsia="仿宋_GB2312" w:hAnsi="仿宋_GB2312" w:cs="仿宋_GB2312" w:hint="eastAsia"/>
          <w:sz w:val="32"/>
          <w:szCs w:val="32"/>
        </w:rPr>
        <w:t>581.76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万元，其中：一般公共预算收入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581.76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。总收入较上年度增加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75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14.8%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，主要是财政拨款收入增加。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年度决算总支出为</w:t>
      </w:r>
      <w:r>
        <w:rPr>
          <w:rFonts w:ascii="仿宋_GB2312" w:eastAsia="仿宋_GB2312" w:hAnsi="仿宋_GB2312" w:cs="仿宋_GB2312" w:hint="eastAsia"/>
          <w:sz w:val="32"/>
          <w:szCs w:val="32"/>
        </w:rPr>
        <w:t>579.28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560.08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97%</w:t>
      </w:r>
      <w:r>
        <w:rPr>
          <w:rFonts w:ascii="仿宋_GB2312" w:eastAsia="仿宋_GB2312" w:hAnsi="仿宋_GB2312" w:cs="仿宋_GB2312" w:hint="eastAsia"/>
          <w:sz w:val="32"/>
          <w:szCs w:val="32"/>
        </w:rPr>
        <w:t>；项目支出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19.2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3%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年末结转和结余为</w:t>
      </w:r>
      <w:r>
        <w:rPr>
          <w:rFonts w:ascii="仿宋_GB2312" w:eastAsia="仿宋_GB2312" w:hAnsi="仿宋_GB2312" w:cs="仿宋_GB2312" w:hint="eastAsia"/>
          <w:sz w:val="32"/>
          <w:szCs w:val="32"/>
        </w:rPr>
        <w:t>74.12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较上年度增加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2.48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增幅为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3.4%,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主要是商品服务性支出缩减。</w:t>
      </w:r>
    </w:p>
    <w:p w:rsidR="006D458A" w:rsidRDefault="00532AFA" w:rsidP="00AD74FD">
      <w:pPr>
        <w:widowControl/>
        <w:spacing w:beforeLines="100" w:afterLines="100" w:line="58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五、“三公”经费支出决算情况说明</w:t>
      </w:r>
    </w:p>
    <w:p w:rsidR="006D458A" w:rsidRDefault="00532AFA">
      <w:pPr>
        <w:widowControl/>
        <w:numPr>
          <w:ilvl w:val="0"/>
          <w:numId w:val="3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“三公”经费与上年度对比分析</w:t>
      </w:r>
    </w:p>
    <w:p w:rsidR="006D458A" w:rsidRDefault="00532AFA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2016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33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6D458A" w:rsidRDefault="006D45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6D458A" w:rsidRDefault="006D45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因公出国（境）费、公务用车运行维护费、公务用车购置费、公务用车运行维护费、公务接待费同上年度一样为零。上下年度支出对比平衡，无增减变化。</w:t>
      </w:r>
    </w:p>
    <w:p w:rsidR="006D458A" w:rsidRDefault="006D458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D458A" w:rsidRDefault="00532AFA">
      <w:pPr>
        <w:widowControl/>
        <w:numPr>
          <w:ilvl w:val="0"/>
          <w:numId w:val="3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“三公”经费支出预决算分析</w:t>
      </w:r>
    </w:p>
    <w:p w:rsidR="006D458A" w:rsidRDefault="00532AFA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预算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决算</w:t>
            </w:r>
          </w:p>
        </w:tc>
        <w:tc>
          <w:tcPr>
            <w:tcW w:w="133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D458A">
        <w:trPr>
          <w:jc w:val="center"/>
        </w:trPr>
        <w:tc>
          <w:tcPr>
            <w:tcW w:w="2994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6D458A" w:rsidRDefault="00532A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6D458A" w:rsidRDefault="006D45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6D458A" w:rsidRDefault="006D45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D458A" w:rsidRDefault="00532AF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我单位公务用车保有量为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辆。接待人次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次，批次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</w:t>
      </w:r>
    </w:p>
    <w:p w:rsidR="006D458A" w:rsidRDefault="00532AF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年财政部门核定我单位一般公共预算财政拨款“三公”经费支出预算数为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万元，其中：因公出国（境）费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万元、公务用车购置及运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行维护费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万元、公务接待费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年我单位“三公”经费实际支出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万元，公务用车购置及运行维护费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万元、公务接待费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万元，与年初预算数一致。与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年相比公务用车维护费持平。</w:t>
      </w:r>
    </w:p>
    <w:p w:rsidR="006D458A" w:rsidRDefault="00532AFA" w:rsidP="00AD74FD">
      <w:pPr>
        <w:widowControl/>
        <w:spacing w:beforeLines="100" w:afterLines="100" w:line="58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六、预算绩效管理工作开展情况说明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（一）总体情况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年，我单位紧紧围绕市委市政府和教育局决策部署，预算安排各项资金，强力推进教育管理改革，扎实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推进学校规范化建设，加快构建全市教师培训的教育服务体系，全力抓好教师培训工作，为南宫的教育发展做出了贡献。</w:t>
      </w:r>
    </w:p>
    <w:p w:rsidR="006D458A" w:rsidRDefault="00532AFA" w:rsidP="00AD74FD">
      <w:pPr>
        <w:spacing w:beforeLines="50" w:afterLines="50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（二）绩效自评开展情况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我单位组织对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年度预算项目进行绩效评价。绩效评价结果：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预算项目立项符合相关管理规定，绩效目标合理，绩效指标清晰，表述准确；项目业务管理制度较健全，业务监控有效性较好；财务管理制度规范，并建立了相应的财务审核及监控措施和手段，内部控制严格有效；项目任务完成质量较好，具有时效性；项目绩效成果很好，社会效益显著。</w:t>
      </w:r>
    </w:p>
    <w:p w:rsidR="006D458A" w:rsidRDefault="00532AFA" w:rsidP="00AD74FD">
      <w:pPr>
        <w:numPr>
          <w:ilvl w:val="0"/>
          <w:numId w:val="3"/>
        </w:numPr>
        <w:spacing w:beforeLines="50" w:afterLines="5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部门整体绩效目标的完成情况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努力，实行绩效管理工作，有力的推动了我市教师培训的工作步伐。对加强教师教学工作，推动素质教育、提高教育教学质量等方面起到了举足轻重的作用。在今后的工作中，将以为教师服务、为教学服务、为提高教育教学质量服务为宗旨，全面贯彻党的方针政策，培养优秀人才。</w:t>
      </w:r>
    </w:p>
    <w:p w:rsidR="006D458A" w:rsidRDefault="00532AFA" w:rsidP="00AD74FD">
      <w:pPr>
        <w:widowControl/>
        <w:numPr>
          <w:ilvl w:val="0"/>
          <w:numId w:val="4"/>
        </w:numPr>
        <w:spacing w:beforeLines="100" w:afterLines="100" w:line="58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其他重要事项的说明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（一）会议费支出情况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年会议费支出为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会议费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万元，与上年持平，无增减变化。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（二）培训费支出情况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年培训费支出为</w:t>
      </w:r>
      <w:r>
        <w:rPr>
          <w:rFonts w:ascii="仿宋_GB2312" w:eastAsia="仿宋_GB2312" w:hAnsi="仿宋_GB2312" w:cs="仿宋_GB2312" w:hint="eastAsia"/>
          <w:sz w:val="32"/>
          <w:szCs w:val="32"/>
        </w:rPr>
        <w:t>0.62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年培训费支出为</w:t>
      </w:r>
      <w:r>
        <w:rPr>
          <w:rFonts w:ascii="仿宋_GB2312" w:eastAsia="仿宋_GB2312" w:hAnsi="仿宋_GB2312" w:cs="仿宋_GB2312" w:hint="eastAsia"/>
          <w:sz w:val="32"/>
          <w:szCs w:val="32"/>
        </w:rPr>
        <w:t>5.37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4.75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88.</w:t>
      </w: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</w:t>
      </w:r>
      <w:r>
        <w:rPr>
          <w:rFonts w:ascii="仿宋_GB2312" w:eastAsia="仿宋_GB2312" w:hAnsi="仿宋_GB2312" w:cs="仿宋_GB2312" w:hint="eastAsia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（三）机关运行经费情况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年机关运行经费支出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年机关运行经费支出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万元，与上年持平，无增减变化。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（四）政府采购情况</w:t>
      </w:r>
    </w:p>
    <w:p w:rsidR="006D458A" w:rsidRDefault="00532AF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年政府采购总计划金额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年实际总采购金额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万元。与上年持平，无增减变化。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（五）国有资产占用情况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日，我单位共有车辆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辆，其中一般公务用车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辆。单价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万元以上的设备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台（套），单价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万元以上的设备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年初资产总值</w:t>
      </w:r>
      <w:r>
        <w:rPr>
          <w:rFonts w:ascii="仿宋_GB2312" w:eastAsia="仿宋_GB2312" w:hAnsi="仿宋_GB2312" w:cs="仿宋_GB2312" w:hint="eastAsia"/>
          <w:sz w:val="32"/>
          <w:szCs w:val="32"/>
        </w:rPr>
        <w:t>218.97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万元，年末</w:t>
      </w:r>
      <w:r>
        <w:rPr>
          <w:rFonts w:ascii="仿宋_GB2312" w:eastAsia="仿宋_GB2312" w:hAnsi="仿宋_GB2312" w:cs="仿宋_GB2312" w:hint="eastAsia"/>
          <w:sz w:val="32"/>
          <w:szCs w:val="32"/>
        </w:rPr>
        <w:t>221.46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万元。年末资产中，流动资产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74</w:t>
      </w:r>
      <w:r>
        <w:rPr>
          <w:rFonts w:ascii="仿宋_GB2312" w:eastAsia="仿宋_GB2312" w:hAnsi="仿宋_GB2312" w:cs="仿宋_GB2312" w:hint="eastAsia"/>
          <w:sz w:val="32"/>
          <w:szCs w:val="32"/>
        </w:rPr>
        <w:t>.12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万元，固定资产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147.34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万元。固定资产中，房屋</w:t>
      </w:r>
      <w:r>
        <w:rPr>
          <w:rFonts w:ascii="仿宋_GB2312" w:eastAsia="仿宋_GB2312" w:hAnsi="仿宋_GB2312" w:cs="仿宋_GB2312" w:hint="eastAsia"/>
          <w:sz w:val="32"/>
          <w:szCs w:val="32"/>
        </w:rPr>
        <w:t>36.14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万元、车辆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万元、其他固定资产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84.2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万元（主要为通用设备、专用设备、办公家具及用具装具等）。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（六）资产负债情况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、资产负债结构情况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年，南宫市教师进修学校总资产为</w:t>
      </w:r>
      <w:r>
        <w:rPr>
          <w:rFonts w:ascii="仿宋_GB2312" w:eastAsia="仿宋_GB2312" w:hAnsi="仿宋_GB2312" w:cs="仿宋_GB2312" w:hint="eastAsia"/>
          <w:sz w:val="32"/>
          <w:szCs w:val="32"/>
        </w:rPr>
        <w:t>221.46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万元，总负债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万元，净资产为</w:t>
      </w:r>
      <w:r>
        <w:rPr>
          <w:rFonts w:ascii="仿宋_GB2312" w:eastAsia="仿宋_GB2312" w:hAnsi="仿宋_GB2312" w:cs="仿宋_GB2312" w:hint="eastAsia"/>
          <w:sz w:val="32"/>
          <w:szCs w:val="32"/>
        </w:rPr>
        <w:t>221.46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万元。较上年相比，资产增加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2.49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增幅为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1%</w:t>
      </w:r>
      <w:r>
        <w:rPr>
          <w:rFonts w:ascii="仿宋_GB2312" w:eastAsia="仿宋_GB2312" w:hAnsi="仿宋_GB2312" w:cs="仿宋_GB2312" w:hint="eastAsia"/>
          <w:sz w:val="32"/>
          <w:szCs w:val="32"/>
        </w:rPr>
        <w:t>，原因是流动资产增加。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、资产负债情况分析</w:t>
      </w:r>
    </w:p>
    <w:p w:rsidR="006D458A" w:rsidRDefault="00532AFA" w:rsidP="00AD74FD">
      <w:pPr>
        <w:spacing w:beforeLines="50" w:afterLines="50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年度南宫市教师进修学校总资产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221.46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万元，无负债。</w:t>
      </w:r>
    </w:p>
    <w:p w:rsidR="006D458A" w:rsidRDefault="00532AFA" w:rsidP="00AD74FD">
      <w:pPr>
        <w:widowControl/>
        <w:spacing w:beforeLines="50" w:afterLines="50" w:line="58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八、其他需要说明的问题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</w:t>
      </w:r>
    </w:p>
    <w:p w:rsidR="006D458A" w:rsidRDefault="00532AFA" w:rsidP="00AD74FD">
      <w:pPr>
        <w:spacing w:beforeLines="50" w:afterLines="50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不涉及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政府性基金预算财政拨款收入支出决算表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>
        <w:rPr>
          <w:rFonts w:ascii="仿宋_GB2312" w:eastAsia="仿宋_GB2312" w:hAnsi="仿宋_GB2312" w:cs="仿宋_GB2312" w:hint="eastAsia"/>
          <w:sz w:val="32"/>
          <w:szCs w:val="32"/>
        </w:rPr>
        <w:t>国有资本经营预算财政拨款收入支出决算表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》、《“三公”经费及相关信息统计表》和《政府采购情况表》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，因此</w:t>
      </w:r>
      <w:r>
        <w:rPr>
          <w:rFonts w:ascii="仿宋_GB2312" w:eastAsia="仿宋_GB2312" w:hAnsi="仿宋_GB2312" w:cs="仿宋_GB2312" w:hint="eastAsia"/>
          <w:sz w:val="32"/>
          <w:szCs w:val="32"/>
        </w:rPr>
        <w:t>均</w:t>
      </w:r>
      <w:r>
        <w:rPr>
          <w:rFonts w:ascii="仿宋_GB2312" w:eastAsia="仿宋_GB2312" w:hAnsi="仿宋_GB2312" w:cs="仿宋_GB2312" w:hint="eastAsia"/>
          <w:sz w:val="32"/>
          <w:szCs w:val="32"/>
        </w:rPr>
        <w:t>为空表。</w:t>
      </w:r>
    </w:p>
    <w:p w:rsidR="006D458A" w:rsidRDefault="006D458A"/>
    <w:p w:rsidR="006D458A" w:rsidRDefault="00532AFA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lastRenderedPageBreak/>
        <w:t>第四部分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名词解释</w:t>
      </w:r>
    </w:p>
    <w:p w:rsidR="006D458A" w:rsidRDefault="006D458A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D458A" w:rsidRDefault="00532AFA">
      <w:pPr>
        <w:ind w:left="834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一、部门决算</w:t>
      </w:r>
    </w:p>
    <w:p w:rsidR="006D458A" w:rsidRDefault="006D458A">
      <w:pPr>
        <w:spacing w:before="7" w:line="140" w:lineRule="exact"/>
        <w:rPr>
          <w:sz w:val="14"/>
          <w:szCs w:val="14"/>
        </w:rPr>
      </w:pPr>
    </w:p>
    <w:p w:rsidR="006D458A" w:rsidRDefault="00532AFA">
      <w:pPr>
        <w:spacing w:line="315" w:lineRule="auto"/>
        <w:ind w:left="114" w:right="11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部门决算是指行政事业单位按照相关编审要求向财政部门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报送的，用以反映本部门、单位财务收支状况和资金管理状况的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总结性文件。</w:t>
      </w:r>
    </w:p>
    <w:p w:rsidR="006D458A" w:rsidRDefault="00532AFA">
      <w:pPr>
        <w:spacing w:before="46"/>
        <w:ind w:left="753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二、财政拨款收入</w:t>
      </w:r>
    </w:p>
    <w:p w:rsidR="006D458A" w:rsidRDefault="006D458A">
      <w:pPr>
        <w:spacing w:before="8" w:line="140" w:lineRule="exact"/>
        <w:rPr>
          <w:sz w:val="14"/>
          <w:szCs w:val="14"/>
        </w:rPr>
      </w:pPr>
    </w:p>
    <w:p w:rsidR="006D458A" w:rsidRDefault="00532AFA">
      <w:pPr>
        <w:spacing w:line="315" w:lineRule="auto"/>
        <w:ind w:left="114" w:right="11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本年度从本级财政部门取得的财政拨款，包括一般公共预算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财政拨款和政府性基金预算财政拨款。</w:t>
      </w:r>
    </w:p>
    <w:p w:rsidR="006D458A" w:rsidRDefault="00532AFA">
      <w:pPr>
        <w:spacing w:before="46"/>
        <w:ind w:left="753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三、其他收入</w:t>
      </w:r>
    </w:p>
    <w:p w:rsidR="006D458A" w:rsidRDefault="006D458A">
      <w:pPr>
        <w:spacing w:before="8" w:line="140" w:lineRule="exact"/>
        <w:rPr>
          <w:sz w:val="14"/>
          <w:szCs w:val="14"/>
        </w:rPr>
      </w:pPr>
    </w:p>
    <w:p w:rsidR="006D458A" w:rsidRDefault="00532AFA">
      <w:pPr>
        <w:spacing w:line="315" w:lineRule="auto"/>
        <w:ind w:left="114" w:right="11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指除“财政拨款收入”、“事业收入”、“经营收入”等以外的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收入。</w:t>
      </w:r>
    </w:p>
    <w:p w:rsidR="006D458A" w:rsidRDefault="00532AFA">
      <w:pPr>
        <w:spacing w:before="46"/>
        <w:ind w:left="753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四、年初结转和结余</w:t>
      </w:r>
    </w:p>
    <w:p w:rsidR="006D458A" w:rsidRDefault="006D458A">
      <w:pPr>
        <w:spacing w:before="8" w:line="140" w:lineRule="exact"/>
        <w:rPr>
          <w:sz w:val="14"/>
          <w:szCs w:val="14"/>
        </w:rPr>
      </w:pPr>
    </w:p>
    <w:p w:rsidR="006D458A" w:rsidRDefault="00532AFA">
      <w:pPr>
        <w:spacing w:line="315" w:lineRule="auto"/>
        <w:ind w:left="114" w:right="11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指以前年度尚未完成、结转到本年仍按原规定用途继续使用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的资金，或项目已完成等产生的结余资金。</w:t>
      </w:r>
    </w:p>
    <w:p w:rsidR="006D458A" w:rsidRDefault="00532AFA">
      <w:pPr>
        <w:spacing w:before="46"/>
        <w:ind w:left="753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五、年末结转和结余</w:t>
      </w:r>
    </w:p>
    <w:p w:rsidR="006D458A" w:rsidRDefault="006D458A">
      <w:pPr>
        <w:spacing w:before="8" w:line="140" w:lineRule="exact"/>
        <w:rPr>
          <w:sz w:val="14"/>
          <w:szCs w:val="14"/>
        </w:rPr>
      </w:pPr>
    </w:p>
    <w:p w:rsidR="006D458A" w:rsidRDefault="00532AFA">
      <w:pPr>
        <w:keepNext/>
        <w:widowControl/>
        <w:spacing w:before="4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指单位按有关规定结转到下年或以后年度继续使用的资金，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或项目已完成等产生的结余资金。</w:t>
      </w:r>
    </w:p>
    <w:p w:rsidR="006D458A" w:rsidRDefault="00532AFA">
      <w:pPr>
        <w:keepNext/>
        <w:widowControl/>
        <w:spacing w:before="46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六、基本支出</w:t>
      </w:r>
    </w:p>
    <w:p w:rsidR="006D458A" w:rsidRDefault="006D458A">
      <w:pPr>
        <w:keepNext/>
        <w:widowControl/>
        <w:spacing w:before="8" w:line="140" w:lineRule="exact"/>
        <w:rPr>
          <w:sz w:val="14"/>
          <w:szCs w:val="14"/>
        </w:rPr>
      </w:pPr>
    </w:p>
    <w:p w:rsidR="006D458A" w:rsidRDefault="00532AFA">
      <w:pPr>
        <w:keepNext/>
        <w:widowControl/>
        <w:spacing w:line="315" w:lineRule="auto"/>
        <w:ind w:firstLine="72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填列单位为保障机构正常运转、完成日常工作任务而发生的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各项支出。</w:t>
      </w:r>
    </w:p>
    <w:p w:rsidR="006D458A" w:rsidRDefault="006D458A">
      <w:pPr>
        <w:keepNext/>
        <w:widowControl/>
        <w:spacing w:before="8" w:line="140" w:lineRule="exact"/>
        <w:rPr>
          <w:sz w:val="14"/>
          <w:szCs w:val="14"/>
        </w:rPr>
      </w:pPr>
    </w:p>
    <w:p w:rsidR="006D458A" w:rsidRDefault="00532AFA">
      <w:pPr>
        <w:keepNext/>
        <w:widowControl/>
        <w:spacing w:line="3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position w:val="-2"/>
          <w:sz w:val="32"/>
          <w:szCs w:val="32"/>
        </w:rPr>
        <w:t>七</w:t>
      </w:r>
      <w:r>
        <w:rPr>
          <w:rFonts w:ascii="黑体" w:eastAsia="黑体" w:hAnsi="黑体" w:cs="黑体"/>
          <w:spacing w:val="-161"/>
          <w:position w:val="-2"/>
          <w:sz w:val="32"/>
          <w:szCs w:val="32"/>
        </w:rPr>
        <w:t>、</w:t>
      </w:r>
      <w:r>
        <w:rPr>
          <w:rFonts w:ascii="黑体" w:eastAsia="黑体" w:hAnsi="黑体" w:cs="黑体"/>
          <w:position w:val="-2"/>
          <w:sz w:val="32"/>
          <w:szCs w:val="32"/>
        </w:rPr>
        <w:t>“</w:t>
      </w:r>
      <w:r>
        <w:rPr>
          <w:rFonts w:ascii="黑体" w:eastAsia="黑体" w:hAnsi="黑体" w:cs="黑体"/>
          <w:position w:val="-2"/>
          <w:sz w:val="32"/>
          <w:szCs w:val="32"/>
        </w:rPr>
        <w:t>三公</w:t>
      </w:r>
      <w:r>
        <w:rPr>
          <w:rFonts w:ascii="黑体" w:eastAsia="黑体" w:hAnsi="黑体" w:cs="黑体"/>
          <w:position w:val="-2"/>
          <w:sz w:val="32"/>
          <w:szCs w:val="32"/>
        </w:rPr>
        <w:t>”</w:t>
      </w:r>
      <w:r>
        <w:rPr>
          <w:rFonts w:ascii="黑体" w:eastAsia="黑体" w:hAnsi="黑体" w:cs="黑体"/>
          <w:position w:val="-2"/>
          <w:sz w:val="32"/>
          <w:szCs w:val="32"/>
        </w:rPr>
        <w:t>经费</w:t>
      </w:r>
    </w:p>
    <w:p w:rsidR="006D458A" w:rsidRDefault="006D458A">
      <w:pPr>
        <w:keepNext/>
        <w:widowControl/>
        <w:spacing w:before="8" w:line="140" w:lineRule="exact"/>
        <w:rPr>
          <w:sz w:val="14"/>
          <w:szCs w:val="14"/>
        </w:rPr>
      </w:pPr>
    </w:p>
    <w:p w:rsidR="006D458A" w:rsidRDefault="00532AFA">
      <w:pPr>
        <w:keepNext/>
        <w:widowControl/>
        <w:spacing w:line="315" w:lineRule="auto"/>
        <w:ind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指部门用财政拨款安排的因公出国（境）费、公务用车购置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及运行费和公务接待费。其中，因公出国（境）费反映单位公务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出国（境）的国际旅费、国外城市间交通费、住宿费、伙食费、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培训费、公杂费等支出；公务用车购置及运行费反映单位公务用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车购置支出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（含车辆购置税）及租用费、燃料费、维修费、过路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过桥费、保险费、安全奖励费用等支出；公务接待费反映单位按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规定开支的各类公务接待（含外宾接待）支出。</w:t>
      </w:r>
    </w:p>
    <w:p w:rsidR="006D458A" w:rsidRDefault="00532AFA">
      <w:pPr>
        <w:spacing w:before="48"/>
        <w:ind w:left="753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八、机关运行经费</w:t>
      </w:r>
    </w:p>
    <w:p w:rsidR="006D458A" w:rsidRDefault="006D458A">
      <w:pPr>
        <w:spacing w:before="7" w:line="140" w:lineRule="exact"/>
        <w:rPr>
          <w:sz w:val="14"/>
          <w:szCs w:val="14"/>
        </w:rPr>
      </w:pPr>
    </w:p>
    <w:p w:rsidR="006D458A" w:rsidRDefault="00532AFA">
      <w:pPr>
        <w:spacing w:line="315" w:lineRule="auto"/>
        <w:ind w:left="114" w:right="11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指为保障行政单位（包括参照公务员法管理的事业单位）运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行用于购买货物和服务的各项资金，包括办公及印刷费、邮电费、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差旅费、会议费、福利费、日常维修费、专用材料以及一般设备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购置费、办公用房水电费、办公用房取暖费、办公用房物业管理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费、公务用车运行维护费以及其他费用。</w:t>
      </w:r>
    </w:p>
    <w:p w:rsidR="006D458A" w:rsidRDefault="00532AFA">
      <w:pPr>
        <w:numPr>
          <w:ilvl w:val="0"/>
          <w:numId w:val="5"/>
        </w:numPr>
        <w:adjustRightInd w:val="0"/>
        <w:snapToGrid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一般公</w:t>
      </w:r>
      <w:r>
        <w:rPr>
          <w:rFonts w:ascii="黑体" w:eastAsia="黑体" w:hAnsi="黑体" w:cs="黑体"/>
          <w:sz w:val="32"/>
          <w:szCs w:val="32"/>
        </w:rPr>
        <w:t>共服务支出</w:t>
      </w:r>
    </w:p>
    <w:p w:rsidR="006D458A" w:rsidRDefault="00532AFA" w:rsidP="00AD74FD">
      <w:pPr>
        <w:adjustRightInd w:val="0"/>
        <w:snapToGrid w:val="0"/>
        <w:spacing w:line="200" w:lineRule="exact"/>
        <w:ind w:leftChars="200" w:left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6D458A" w:rsidRDefault="00532AFA">
      <w:pPr>
        <w:spacing w:line="315" w:lineRule="auto"/>
        <w:ind w:left="114" w:right="11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一般公共服务支出是指反映预算单位一般公共服务的支出。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D458A" w:rsidRDefault="00532AFA">
      <w:pPr>
        <w:numPr>
          <w:ilvl w:val="0"/>
          <w:numId w:val="5"/>
        </w:numPr>
        <w:spacing w:line="315" w:lineRule="auto"/>
        <w:ind w:right="11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其他交通费用</w:t>
      </w:r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6D458A" w:rsidRDefault="00532AFA">
      <w:pPr>
        <w:spacing w:line="315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填列单位除公务用车运行维护费以外的其他交通费用。如飞机、船舶等的燃料费、维修费、过桥过路费、保险费、出租车费用、公务交通补贴等。</w:t>
      </w:r>
    </w:p>
    <w:p w:rsidR="006D458A" w:rsidRDefault="00532AFA">
      <w:pPr>
        <w:spacing w:before="47"/>
        <w:ind w:left="834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十一、社会保障和就业支出</w:t>
      </w:r>
    </w:p>
    <w:p w:rsidR="006D458A" w:rsidRDefault="006D458A">
      <w:pPr>
        <w:spacing w:before="7" w:line="140" w:lineRule="exact"/>
        <w:rPr>
          <w:sz w:val="14"/>
          <w:szCs w:val="14"/>
        </w:rPr>
      </w:pPr>
    </w:p>
    <w:p w:rsidR="006D458A" w:rsidRDefault="00532AFA">
      <w:pPr>
        <w:spacing w:line="315" w:lineRule="auto"/>
        <w:ind w:left="114" w:right="11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社会保障和就业支出是指预算单位在社会保障和就业方面的支出。</w:t>
      </w:r>
    </w:p>
    <w:p w:rsidR="006D458A" w:rsidRDefault="006D458A">
      <w:pPr>
        <w:adjustRightInd w:val="0"/>
        <w:snapToGrid w:val="0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6D458A" w:rsidSect="006D458A">
      <w:pgSz w:w="11923" w:h="16838"/>
      <w:pgMar w:top="1582" w:right="1202" w:bottom="1134" w:left="1361" w:header="720" w:footer="720" w:gutter="0"/>
      <w:cols w:space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29D7"/>
    <w:multiLevelType w:val="singleLevel"/>
    <w:tmpl w:val="923929D7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EBE911"/>
    <w:multiLevelType w:val="singleLevel"/>
    <w:tmpl w:val="3FEBE911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B6BA373"/>
    <w:multiLevelType w:val="singleLevel"/>
    <w:tmpl w:val="5B6BA373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</w:lvl>
  </w:abstractNum>
  <w:abstractNum w:abstractNumId="4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HorizontalSpacing w:val="210"/>
  <w:drawingGridVerticalSpacing w:val="-7946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C54356"/>
    <w:rsid w:val="00532AFA"/>
    <w:rsid w:val="006D458A"/>
    <w:rsid w:val="00AD74FD"/>
    <w:rsid w:val="00DD6674"/>
    <w:rsid w:val="018F6D8B"/>
    <w:rsid w:val="031210D9"/>
    <w:rsid w:val="05B30512"/>
    <w:rsid w:val="06194023"/>
    <w:rsid w:val="063A7ED7"/>
    <w:rsid w:val="066D430C"/>
    <w:rsid w:val="07111AC6"/>
    <w:rsid w:val="08FF1A13"/>
    <w:rsid w:val="0A8779F9"/>
    <w:rsid w:val="0AE74A9E"/>
    <w:rsid w:val="0B3C60D7"/>
    <w:rsid w:val="0B8F41AA"/>
    <w:rsid w:val="0BF92E32"/>
    <w:rsid w:val="0D364B1D"/>
    <w:rsid w:val="0E747C68"/>
    <w:rsid w:val="0EF83D82"/>
    <w:rsid w:val="114669AB"/>
    <w:rsid w:val="12ED0D75"/>
    <w:rsid w:val="13FA6BA0"/>
    <w:rsid w:val="154C251B"/>
    <w:rsid w:val="164D40CA"/>
    <w:rsid w:val="16A05755"/>
    <w:rsid w:val="175354F6"/>
    <w:rsid w:val="178D0DA6"/>
    <w:rsid w:val="1AAA4A96"/>
    <w:rsid w:val="1AAC0579"/>
    <w:rsid w:val="1B1B50D8"/>
    <w:rsid w:val="1B2219B9"/>
    <w:rsid w:val="1B8703E5"/>
    <w:rsid w:val="1C217B9C"/>
    <w:rsid w:val="1E890F17"/>
    <w:rsid w:val="22914BF0"/>
    <w:rsid w:val="22E80F53"/>
    <w:rsid w:val="23F141D1"/>
    <w:rsid w:val="242B68BD"/>
    <w:rsid w:val="249F7974"/>
    <w:rsid w:val="24D90E0E"/>
    <w:rsid w:val="26007B50"/>
    <w:rsid w:val="27566061"/>
    <w:rsid w:val="288B507C"/>
    <w:rsid w:val="289B03B6"/>
    <w:rsid w:val="29174B05"/>
    <w:rsid w:val="2BC40D53"/>
    <w:rsid w:val="2C086B65"/>
    <w:rsid w:val="2C562A31"/>
    <w:rsid w:val="2C844552"/>
    <w:rsid w:val="2D9415EC"/>
    <w:rsid w:val="2F0B693F"/>
    <w:rsid w:val="307A4D17"/>
    <w:rsid w:val="317E0ED1"/>
    <w:rsid w:val="325A4611"/>
    <w:rsid w:val="332349A3"/>
    <w:rsid w:val="34C54356"/>
    <w:rsid w:val="361E46B1"/>
    <w:rsid w:val="365654BD"/>
    <w:rsid w:val="370F2025"/>
    <w:rsid w:val="37B4371B"/>
    <w:rsid w:val="38555E14"/>
    <w:rsid w:val="38667CBA"/>
    <w:rsid w:val="38824FAB"/>
    <w:rsid w:val="3A8158CC"/>
    <w:rsid w:val="3C3D57B6"/>
    <w:rsid w:val="3CFD6BC8"/>
    <w:rsid w:val="3DAC4792"/>
    <w:rsid w:val="3F6841AE"/>
    <w:rsid w:val="3F75029D"/>
    <w:rsid w:val="3FE7363B"/>
    <w:rsid w:val="405D545A"/>
    <w:rsid w:val="40A430F5"/>
    <w:rsid w:val="42C678B3"/>
    <w:rsid w:val="43534B91"/>
    <w:rsid w:val="43895888"/>
    <w:rsid w:val="454A1840"/>
    <w:rsid w:val="46235E03"/>
    <w:rsid w:val="47400CC3"/>
    <w:rsid w:val="47C07A9B"/>
    <w:rsid w:val="4A03128D"/>
    <w:rsid w:val="4A6064BB"/>
    <w:rsid w:val="4B74298D"/>
    <w:rsid w:val="4BB0420A"/>
    <w:rsid w:val="4D6F28A2"/>
    <w:rsid w:val="4E370D57"/>
    <w:rsid w:val="4E770863"/>
    <w:rsid w:val="4E9D5EAE"/>
    <w:rsid w:val="4ECB12F4"/>
    <w:rsid w:val="500C3DD8"/>
    <w:rsid w:val="509A7489"/>
    <w:rsid w:val="52AA78C5"/>
    <w:rsid w:val="53FD7EB4"/>
    <w:rsid w:val="54385A30"/>
    <w:rsid w:val="54F769C8"/>
    <w:rsid w:val="55425CF0"/>
    <w:rsid w:val="568E71AE"/>
    <w:rsid w:val="58BB7975"/>
    <w:rsid w:val="5A443ACB"/>
    <w:rsid w:val="5AFF277E"/>
    <w:rsid w:val="5B58496B"/>
    <w:rsid w:val="5B60124B"/>
    <w:rsid w:val="5CEE2916"/>
    <w:rsid w:val="5DBA3224"/>
    <w:rsid w:val="5EF30C67"/>
    <w:rsid w:val="5FB24942"/>
    <w:rsid w:val="61287A15"/>
    <w:rsid w:val="62DD5CE4"/>
    <w:rsid w:val="66061FD6"/>
    <w:rsid w:val="66F459E6"/>
    <w:rsid w:val="68AC555E"/>
    <w:rsid w:val="68F928E3"/>
    <w:rsid w:val="69156D2A"/>
    <w:rsid w:val="6A5637D5"/>
    <w:rsid w:val="6A5C0716"/>
    <w:rsid w:val="6C020FDF"/>
    <w:rsid w:val="6D884E69"/>
    <w:rsid w:val="6F5F05DD"/>
    <w:rsid w:val="707740EF"/>
    <w:rsid w:val="731D0281"/>
    <w:rsid w:val="744C6E1F"/>
    <w:rsid w:val="776C1C90"/>
    <w:rsid w:val="78972C79"/>
    <w:rsid w:val="792A7C73"/>
    <w:rsid w:val="799D6C33"/>
    <w:rsid w:val="79C22B01"/>
    <w:rsid w:val="7BB02EA5"/>
    <w:rsid w:val="7F3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5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45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D458A"/>
    <w:rPr>
      <w:b/>
    </w:rPr>
  </w:style>
  <w:style w:type="character" w:styleId="a5">
    <w:name w:val="Hyperlink"/>
    <w:basedOn w:val="a0"/>
    <w:qFormat/>
    <w:rsid w:val="006D458A"/>
    <w:rPr>
      <w:color w:val="0000FF"/>
      <w:u w:val="single"/>
    </w:rPr>
  </w:style>
  <w:style w:type="table" w:styleId="a6">
    <w:name w:val="Table Grid"/>
    <w:basedOn w:val="a1"/>
    <w:qFormat/>
    <w:rsid w:val="006D45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</dc:creator>
  <cp:lastModifiedBy>Administrator</cp:lastModifiedBy>
  <cp:revision>2</cp:revision>
  <cp:lastPrinted>2018-10-24T08:02:00Z</cp:lastPrinted>
  <dcterms:created xsi:type="dcterms:W3CDTF">2018-08-08T00:21:00Z</dcterms:created>
  <dcterms:modified xsi:type="dcterms:W3CDTF">2018-10-29T08:43:00Z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