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  <w:r>
        <w:rPr>
          <w:rStyle w:val="a7"/>
          <w:rFonts w:ascii="宋体" w:hAnsi="宋体" w:cs="宋体"/>
          <w:b w:val="0"/>
          <w:color w:val="000000"/>
          <w:sz w:val="52"/>
          <w:szCs w:val="52"/>
          <w:shd w:val="clear" w:color="0A0000" w:fill="FFFFFF"/>
        </w:rPr>
        <w:t>2017</w:t>
      </w:r>
      <w:r>
        <w:rPr>
          <w:rStyle w:val="a7"/>
          <w:rFonts w:ascii="宋体" w:hAnsi="宋体" w:cs="宋体" w:hint="eastAsia"/>
          <w:b w:val="0"/>
          <w:color w:val="000000"/>
          <w:sz w:val="52"/>
          <w:szCs w:val="52"/>
          <w:shd w:val="clear" w:color="0A0000" w:fill="FFFFFF"/>
        </w:rPr>
        <w:t>年度</w:t>
      </w: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0A0000" w:fill="FFFFFF"/>
        </w:rPr>
      </w:pP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Fonts w:ascii="宋体" w:cs="宋体"/>
          <w:b/>
          <w:color w:val="000000"/>
          <w:sz w:val="52"/>
          <w:szCs w:val="52"/>
        </w:rPr>
      </w:pPr>
      <w:r>
        <w:rPr>
          <w:rStyle w:val="a7"/>
          <w:rFonts w:ascii="宋体" w:hAnsi="宋体" w:cs="宋体" w:hint="eastAsia"/>
          <w:b w:val="0"/>
          <w:color w:val="000000"/>
          <w:sz w:val="52"/>
          <w:szCs w:val="52"/>
          <w:shd w:val="clear" w:color="0A0000" w:fill="FFFFFF"/>
        </w:rPr>
        <w:t>部门决算公开</w:t>
      </w: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  <w:r>
        <w:rPr>
          <w:rStyle w:val="a7"/>
          <w:rFonts w:ascii="宋体" w:hAnsi="宋体" w:cs="宋体" w:hint="eastAsia"/>
          <w:b w:val="0"/>
          <w:color w:val="000000"/>
          <w:sz w:val="36"/>
          <w:szCs w:val="36"/>
          <w:shd w:val="clear" w:color="0A0000" w:fill="FFFFFF"/>
        </w:rPr>
        <w:t>南宫市人民检察院</w:t>
      </w: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0A0000" w:fill="FFFFFF"/>
        </w:rPr>
      </w:pPr>
      <w:r>
        <w:rPr>
          <w:rStyle w:val="a7"/>
          <w:rFonts w:ascii="宋体" w:hAnsi="宋体" w:cs="宋体"/>
          <w:b w:val="0"/>
          <w:color w:val="000000"/>
          <w:sz w:val="36"/>
          <w:szCs w:val="36"/>
          <w:shd w:val="clear" w:color="0A0000" w:fill="FFFFFF"/>
        </w:rPr>
        <w:t>2018</w:t>
      </w:r>
      <w:r>
        <w:rPr>
          <w:rStyle w:val="a7"/>
          <w:rFonts w:ascii="宋体" w:hAnsi="宋体" w:cs="宋体" w:hint="eastAsia"/>
          <w:b w:val="0"/>
          <w:color w:val="000000"/>
          <w:sz w:val="36"/>
          <w:szCs w:val="36"/>
          <w:shd w:val="clear" w:color="0A0000" w:fill="FFFFFF"/>
        </w:rPr>
        <w:t>年</w:t>
      </w:r>
      <w:r>
        <w:rPr>
          <w:rStyle w:val="a7"/>
          <w:rFonts w:ascii="宋体" w:hAnsi="宋体" w:cs="宋体"/>
          <w:b w:val="0"/>
          <w:color w:val="000000"/>
          <w:sz w:val="36"/>
          <w:szCs w:val="36"/>
          <w:shd w:val="clear" w:color="0A0000" w:fill="FFFFFF"/>
        </w:rPr>
        <w:t>10</w:t>
      </w:r>
      <w:r>
        <w:rPr>
          <w:rStyle w:val="a7"/>
          <w:rFonts w:ascii="宋体" w:hAnsi="宋体" w:cs="宋体" w:hint="eastAsia"/>
          <w:b w:val="0"/>
          <w:color w:val="000000"/>
          <w:sz w:val="36"/>
          <w:szCs w:val="36"/>
          <w:shd w:val="clear" w:color="0A0000" w:fill="FFFFFF"/>
        </w:rPr>
        <w:t>月</w:t>
      </w:r>
    </w:p>
    <w:p w:rsidR="00CF200E" w:rsidRDefault="00CF200E">
      <w:pPr>
        <w:spacing w:line="580" w:lineRule="exact"/>
        <w:rPr>
          <w:rFonts w:eastAsia="方正小标宋_GBK" w:hAnsi="宋体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eastAsia="方正小标宋_GBK" w:hAnsi="宋体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eastAsia="方正小标宋_GBK" w:hAnsi="宋体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eastAsia="方正小标宋_GBK" w:hAnsi="宋体" w:cs="宋体"/>
          <w:sz w:val="32"/>
          <w:szCs w:val="32"/>
        </w:rPr>
      </w:pPr>
    </w:p>
    <w:p w:rsidR="00CF200E" w:rsidRDefault="00EC2951">
      <w:pPr>
        <w:spacing w:line="580" w:lineRule="exact"/>
        <w:jc w:val="center"/>
        <w:rPr>
          <w:rFonts w:ascii="宋体" w:eastAsia="宋体" w:cs="宋体"/>
          <w:sz w:val="32"/>
          <w:szCs w:val="32"/>
        </w:rPr>
      </w:pPr>
      <w:r>
        <w:rPr>
          <w:rFonts w:eastAsia="方正小标宋_GBK" w:hAnsi="宋体" w:cs="宋体" w:hint="eastAsia"/>
          <w:b/>
          <w:bCs/>
          <w:sz w:val="36"/>
          <w:szCs w:val="36"/>
        </w:rPr>
        <w:t>目</w:t>
      </w:r>
      <w:r>
        <w:rPr>
          <w:rFonts w:eastAsia="方正小标宋_GBK" w:hAnsi="宋体" w:cs="宋体"/>
          <w:b/>
          <w:bCs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sz w:val="36"/>
          <w:szCs w:val="36"/>
        </w:rPr>
        <w:t>录</w:t>
      </w:r>
    </w:p>
    <w:p w:rsidR="00CF200E" w:rsidRDefault="00EC2951">
      <w:pPr>
        <w:spacing w:line="580" w:lineRule="exact"/>
        <w:ind w:firstLineChars="200" w:firstLine="640"/>
        <w:rPr>
          <w:rFonts w:ascii="宋体" w:eastAsia="宋体" w:cs="宋体"/>
          <w:sz w:val="24"/>
        </w:rPr>
      </w:pPr>
      <w:r>
        <w:rPr>
          <w:rFonts w:eastAsia="黑体"/>
          <w:sz w:val="32"/>
          <w:szCs w:val="32"/>
        </w:rPr>
        <w:t> </w:t>
      </w:r>
    </w:p>
    <w:p w:rsidR="00CF200E" w:rsidRDefault="00EC2951">
      <w:pPr>
        <w:numPr>
          <w:ilvl w:val="0"/>
          <w:numId w:val="1"/>
        </w:numPr>
        <w:adjustRightInd/>
        <w:snapToGrid/>
        <w:spacing w:after="0" w:line="580" w:lineRule="exact"/>
        <w:rPr>
          <w:rFonts w:eastAsia="黑体" w:cs="宋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南宫市人民检察院</w:t>
      </w:r>
      <w:r>
        <w:rPr>
          <w:rFonts w:eastAsia="黑体" w:cs="宋体" w:hint="eastAsia"/>
          <w:sz w:val="32"/>
          <w:szCs w:val="32"/>
        </w:rPr>
        <w:t>部门概况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（一）主要职能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（二）部门组成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黑体" w:cs="宋体" w:hint="eastAsia"/>
          <w:sz w:val="32"/>
          <w:szCs w:val="32"/>
        </w:rPr>
        <w:t>二、南宫市人民检察院</w:t>
      </w:r>
      <w:r>
        <w:rPr>
          <w:rFonts w:eastAsia="黑体"/>
          <w:sz w:val="32"/>
          <w:szCs w:val="32"/>
        </w:rPr>
        <w:t>2017</w:t>
      </w:r>
      <w:r>
        <w:rPr>
          <w:rFonts w:eastAsia="黑体" w:cs="宋体" w:hint="eastAsia"/>
          <w:sz w:val="32"/>
          <w:szCs w:val="32"/>
        </w:rPr>
        <w:t>年度部门决算表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（一）收入支出决算总表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（二）收入决算表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（三）支出决算表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（四）财政拨款收入支出决算总表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（五）一般公共预算财政拨款收入支出决算表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（六）一般公共预算财政拨款基本支出决算经济分类表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（七）政府性基金预算财政拨款收入支出决算表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（八）国有资本经营预算财政拨款收入支出决算表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宋体" w:cs="宋体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宋体" w:cs="宋体" w:hint="eastAsia"/>
          <w:sz w:val="32"/>
          <w:szCs w:val="32"/>
        </w:rPr>
        <w:t>经费等相关信息统计表</w:t>
      </w:r>
    </w:p>
    <w:p w:rsidR="00CF200E" w:rsidRDefault="00EC2951">
      <w:pPr>
        <w:spacing w:line="580" w:lineRule="exact"/>
        <w:ind w:firstLine="640"/>
        <w:rPr>
          <w:rFonts w:eastAsia="仿宋_GB2312" w:hAnsi="宋体" w:cs="宋体"/>
          <w:sz w:val="32"/>
          <w:szCs w:val="32"/>
        </w:rPr>
      </w:pPr>
      <w:r>
        <w:rPr>
          <w:rFonts w:eastAsia="仿宋_GB2312" w:hAnsi="宋体" w:cs="宋体" w:hint="eastAsia"/>
          <w:sz w:val="32"/>
          <w:szCs w:val="32"/>
        </w:rPr>
        <w:t>（十）政府采购情况表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黑体" w:cs="宋体" w:hint="eastAsia"/>
          <w:sz w:val="32"/>
          <w:szCs w:val="32"/>
        </w:rPr>
        <w:t>三、南宫市人民检察院</w:t>
      </w:r>
      <w:r>
        <w:rPr>
          <w:rFonts w:eastAsia="黑体"/>
          <w:sz w:val="32"/>
          <w:szCs w:val="32"/>
        </w:rPr>
        <w:t>2017</w:t>
      </w:r>
      <w:r>
        <w:rPr>
          <w:rFonts w:eastAsia="黑体" w:cs="宋体" w:hint="eastAsia"/>
          <w:sz w:val="32"/>
          <w:szCs w:val="32"/>
        </w:rPr>
        <w:t>年部门决算情况说明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lastRenderedPageBreak/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（一）收入支出决算总体情况说明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（二）收入决算情况说明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（三）支出决算情况说明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（四）财政拨款收入支出决算总体情况说明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宋体" w:cs="宋体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宋体" w:cs="宋体" w:hint="eastAsia"/>
          <w:sz w:val="32"/>
          <w:szCs w:val="32"/>
        </w:rPr>
        <w:t>经费支出决算情况说明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（六）预算绩效管理工作开展情况说明</w:t>
      </w:r>
    </w:p>
    <w:p w:rsidR="00CF200E" w:rsidRDefault="00EC2951">
      <w:pPr>
        <w:spacing w:line="580" w:lineRule="exact"/>
        <w:rPr>
          <w:rFonts w:ascii="宋体" w:eastAsia="宋体" w:cs="宋体"/>
          <w:sz w:val="24"/>
        </w:rPr>
      </w:pPr>
      <w:r>
        <w:rPr>
          <w:rFonts w:eastAsia="仿宋_GB2312" w:hAnsi="宋体" w:cs="宋体"/>
          <w:sz w:val="32"/>
          <w:szCs w:val="32"/>
        </w:rPr>
        <w:t xml:space="preserve">    </w:t>
      </w:r>
      <w:r>
        <w:rPr>
          <w:rFonts w:eastAsia="仿宋_GB2312" w:hAnsi="宋体" w:cs="宋体" w:hint="eastAsia"/>
          <w:sz w:val="32"/>
          <w:szCs w:val="32"/>
        </w:rPr>
        <w:t>（七）其他重要事项的说明</w:t>
      </w:r>
    </w:p>
    <w:p w:rsidR="00CF200E" w:rsidRDefault="00EC2951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1.</w:t>
      </w:r>
      <w:r>
        <w:rPr>
          <w:rFonts w:eastAsia="仿宋_GB2312" w:hint="eastAsia"/>
          <w:sz w:val="32"/>
          <w:szCs w:val="32"/>
        </w:rPr>
        <w:t>会议支出情况</w:t>
      </w:r>
    </w:p>
    <w:p w:rsidR="00CF200E" w:rsidRDefault="00EC2951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2.</w:t>
      </w:r>
      <w:r>
        <w:rPr>
          <w:rFonts w:eastAsia="仿宋_GB2312" w:hint="eastAsia"/>
          <w:sz w:val="32"/>
          <w:szCs w:val="32"/>
        </w:rPr>
        <w:t>培训费支出情况</w:t>
      </w:r>
    </w:p>
    <w:p w:rsidR="00CF200E" w:rsidRDefault="00EC2951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3.</w:t>
      </w:r>
      <w:r>
        <w:rPr>
          <w:rFonts w:eastAsia="仿宋_GB2312" w:hint="eastAsia"/>
          <w:sz w:val="32"/>
          <w:szCs w:val="32"/>
        </w:rPr>
        <w:t>机关运行经费情况</w:t>
      </w:r>
    </w:p>
    <w:p w:rsidR="00CF200E" w:rsidRDefault="00EC2951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4.</w:t>
      </w:r>
      <w:r>
        <w:rPr>
          <w:rFonts w:eastAsia="仿宋_GB2312" w:hint="eastAsia"/>
          <w:sz w:val="32"/>
          <w:szCs w:val="32"/>
        </w:rPr>
        <w:t>政府采购情况</w:t>
      </w:r>
    </w:p>
    <w:p w:rsidR="00CF200E" w:rsidRDefault="00EC2951">
      <w:pPr>
        <w:spacing w:line="580" w:lineRule="exact"/>
        <w:ind w:firstLineChars="250" w:firstLine="800"/>
        <w:rPr>
          <w:rFonts w:eastAsia="仿宋_GB2312" w:hAnsi="宋体" w:cs="宋体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 w:hAnsi="宋体" w:cs="宋体" w:hint="eastAsia"/>
          <w:sz w:val="32"/>
          <w:szCs w:val="32"/>
        </w:rPr>
        <w:t>国有资产占用情况</w:t>
      </w:r>
    </w:p>
    <w:p w:rsidR="00CF200E" w:rsidRDefault="00EC2951">
      <w:pPr>
        <w:spacing w:line="580" w:lineRule="exact"/>
        <w:ind w:firstLineChars="250" w:firstLine="800"/>
        <w:rPr>
          <w:rFonts w:eastAsia="仿宋_GB2312" w:hAnsi="宋体" w:cs="宋体"/>
          <w:sz w:val="32"/>
          <w:szCs w:val="32"/>
        </w:rPr>
      </w:pPr>
      <w:r>
        <w:rPr>
          <w:rFonts w:eastAsia="仿宋_GB2312" w:hAnsi="宋体" w:cs="宋体"/>
          <w:sz w:val="32"/>
          <w:szCs w:val="32"/>
        </w:rPr>
        <w:t>6.</w:t>
      </w:r>
      <w:r>
        <w:rPr>
          <w:rFonts w:eastAsia="仿宋_GB2312" w:hAnsi="宋体" w:cs="宋体" w:hint="eastAsia"/>
          <w:sz w:val="32"/>
          <w:szCs w:val="32"/>
        </w:rPr>
        <w:t>资产负债情况</w:t>
      </w:r>
    </w:p>
    <w:p w:rsidR="00CF200E" w:rsidRDefault="00EC2951">
      <w:pPr>
        <w:spacing w:line="580" w:lineRule="exact"/>
        <w:ind w:firstLineChars="150" w:firstLine="480"/>
        <w:rPr>
          <w:rFonts w:eastAsia="仿宋_GB2312" w:hAnsi="宋体" w:cs="宋体"/>
          <w:sz w:val="32"/>
          <w:szCs w:val="32"/>
        </w:rPr>
      </w:pPr>
      <w:r>
        <w:rPr>
          <w:rFonts w:eastAsia="仿宋_GB2312" w:hAnsi="宋体" w:cs="宋体" w:hint="eastAsia"/>
          <w:sz w:val="32"/>
          <w:szCs w:val="32"/>
        </w:rPr>
        <w:t>（八）其他需要说明的问题</w:t>
      </w:r>
    </w:p>
    <w:p w:rsidR="00CF200E" w:rsidRDefault="00CF200E">
      <w:pPr>
        <w:spacing w:line="580" w:lineRule="exact"/>
        <w:rPr>
          <w:rFonts w:eastAsia="仿宋_GB2312"/>
          <w:sz w:val="32"/>
          <w:szCs w:val="32"/>
        </w:rPr>
      </w:pPr>
    </w:p>
    <w:p w:rsidR="00CF200E" w:rsidRDefault="00CF200E">
      <w:pPr>
        <w:spacing w:line="580" w:lineRule="exact"/>
        <w:rPr>
          <w:rFonts w:ascii="宋体" w:eastAsia="宋体" w:cs="宋体"/>
          <w:sz w:val="24"/>
        </w:rPr>
      </w:pPr>
    </w:p>
    <w:p w:rsidR="00CF200E" w:rsidRDefault="00EC2951">
      <w:pPr>
        <w:spacing w:line="580" w:lineRule="exact"/>
        <w:ind w:firstLineChars="200" w:firstLine="640"/>
        <w:rPr>
          <w:rFonts w:ascii="宋体" w:eastAsia="宋体" w:cs="宋体"/>
          <w:sz w:val="24"/>
        </w:rPr>
      </w:pPr>
      <w:r>
        <w:rPr>
          <w:rFonts w:eastAsia="黑体" w:cs="宋体" w:hint="eastAsia"/>
          <w:sz w:val="32"/>
          <w:szCs w:val="32"/>
        </w:rPr>
        <w:t>第四部分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cs="宋体" w:hint="eastAsia"/>
          <w:sz w:val="32"/>
          <w:szCs w:val="32"/>
        </w:rPr>
        <w:t>名词解释</w:t>
      </w:r>
    </w:p>
    <w:p w:rsidR="00CF200E" w:rsidRDefault="00EC2951">
      <w:pPr>
        <w:spacing w:line="580" w:lineRule="exact"/>
        <w:ind w:firstLineChars="200" w:firstLine="640"/>
        <w:rPr>
          <w:rFonts w:ascii="宋体" w:eastAsia="宋体" w:cs="宋体"/>
          <w:sz w:val="24"/>
        </w:rPr>
      </w:pPr>
      <w:r>
        <w:rPr>
          <w:rFonts w:eastAsia="黑体"/>
          <w:sz w:val="32"/>
          <w:szCs w:val="32"/>
        </w:rPr>
        <w:t> </w:t>
      </w: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="315" w:beforeAutospacing="0" w:after="315" w:afterAutospacing="0"/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090000" w:fill="FFFFFF"/>
        </w:rPr>
        <w:lastRenderedPageBreak/>
        <w:t>第一部分</w:t>
      </w:r>
      <w:r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090000" w:fill="FFFFFF"/>
        </w:rPr>
        <w:t xml:space="preserve">   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090000" w:fill="FFFFFF"/>
        </w:rPr>
        <w:t>部门概况</w:t>
      </w:r>
    </w:p>
    <w:p w:rsidR="00CF200E" w:rsidRDefault="00EC2951">
      <w:pPr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    </w:t>
      </w:r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90000" w:fill="FFFFFF"/>
        </w:rPr>
        <w:t xml:space="preserve">  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90000" w:fill="FFFFFF"/>
        </w:rPr>
        <w:t>一、主要职能</w:t>
      </w:r>
    </w:p>
    <w:p w:rsidR="00CF200E" w:rsidRDefault="00EC2951">
      <w:pPr>
        <w:spacing w:line="520" w:lineRule="exac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 xml:space="preserve">    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、对于叛国案件、分裂国家案件以及严重破坏国家的政策、法律、政令统一实施的重大犯罪案件，行使检察权。</w:t>
      </w:r>
    </w:p>
    <w:p w:rsidR="00CF200E" w:rsidRDefault="00EC2951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对于贪污贿赂犯罪案件、国家工作人员的渎职犯罪案件、国家机关工作人员利用职权实施的非法拘禁、刑讯逼供、报复陷害、非法搜查的侵犯公民人身权利、民主权利的犯罪案件和其他重大的犯罪案件，进行立案侦查和决定是否对犯罪嫌疑人实行逮捕和提起公诉。</w:t>
      </w:r>
    </w:p>
    <w:p w:rsidR="00CF200E" w:rsidRDefault="00EC2951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、对于公安机关、国家安全机关、走私犯罪嫌疑人决定是否批准逮捕、起诉或者不起诉，并对侦查机关的立案、侦查活动是否合法实行监督。</w:t>
      </w:r>
    </w:p>
    <w:p w:rsidR="00CF200E" w:rsidRDefault="00EC2951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、对于形式案件提起公诉、支持公诉；对于人民法院的审判活动是否合法实行监督。</w:t>
      </w:r>
    </w:p>
    <w:p w:rsidR="00CF200E" w:rsidRDefault="00EC2951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5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、对于人民法院的民事审判活动实行法律监督。</w:t>
      </w:r>
    </w:p>
    <w:p w:rsidR="00CF200E" w:rsidRDefault="00EC2951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6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对于行政诉讼实行法律监督。</w:t>
      </w:r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90000" w:fill="FFFFFF"/>
        </w:rPr>
        <w:t xml:space="preserve">  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90000" w:fill="FFFFFF"/>
        </w:rPr>
        <w:t>二、部门组成</w:t>
      </w: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南宫市人民检察院，一个预算单位。由办公室、政治部、侦监部、公诉部、未检部、刑事执行部、民行部、控申部、案管部、法警大队及财务室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个部门组成。</w:t>
      </w:r>
    </w:p>
    <w:p w:rsidR="00CF200E" w:rsidRDefault="00CF200E">
      <w:pPr>
        <w:pStyle w:val="a6"/>
        <w:widowControl/>
        <w:shd w:val="clear" w:color="070000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CF200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EC2951">
      <w:pPr>
        <w:spacing w:line="580" w:lineRule="exact"/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090000" w:fill="FFFFFF"/>
        </w:rPr>
        <w:t>第二部分</w:t>
      </w:r>
      <w:r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090000" w:fill="FFFFFF"/>
        </w:rPr>
        <w:t xml:space="preserve">  </w:t>
      </w:r>
      <w:r>
        <w:rPr>
          <w:rFonts w:ascii="仿宋_GB2312" w:eastAsia="仿宋_GB2312" w:hAnsi="宋体" w:cs="宋体"/>
          <w:b/>
          <w:bCs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年部门决算表</w:t>
      </w:r>
    </w:p>
    <w:p w:rsidR="00CF200E" w:rsidRDefault="00CF200E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526.5pt;height:413.25pt">
            <v:imagedata r:id="rId6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26" o:spid="_x0000_i1026" type="#_x0000_t75" style="width:677.25pt;height:316.5pt">
            <v:imagedata r:id="rId7" o:title=""/>
          </v:shape>
        </w:pict>
      </w: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pict>
          <v:shape id="图片框 1027" o:spid="_x0000_i1027" type="#_x0000_t75" style="width:656.25pt;height:276pt">
            <v:imagedata r:id="rId8" o:title=""/>
          </v:shape>
        </w:pict>
      </w: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28" o:spid="_x0000_i1028" type="#_x0000_t75" style="width:565.5pt;height:410.25pt">
            <v:imagedata r:id="rId9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pict>
          <v:shape id="图片框 1029" o:spid="_x0000_i1029" type="#_x0000_t75" style="width:691.5pt;height:306.75pt">
            <v:imagedata r:id="rId10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30" o:spid="_x0000_i1030" type="#_x0000_t75" style="width:618pt;height:413.25pt">
            <v:imagedata r:id="rId11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31" o:spid="_x0000_i1031" type="#_x0000_t75" style="width:694.5pt;height:256.5pt">
            <v:imagedata r:id="rId12" o:title=""/>
          </v:shape>
        </w:pict>
      </w: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pict>
          <v:shape id="图片框 1032" o:spid="_x0000_i1032" type="#_x0000_t75" style="width:679.5pt;height:240.75pt">
            <v:imagedata r:id="rId13" o:title=""/>
          </v:shape>
        </w:pict>
      </w: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33" o:spid="_x0000_i1033" type="#_x0000_t75" style="width:621pt;height:405.75pt">
            <v:imagedata r:id="rId14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  <w:sectPr w:rsidR="00CF200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CF200E">
        <w:rPr>
          <w:rFonts w:ascii="仿宋_GB2312" w:eastAsia="仿宋_GB2312" w:cs="宋体"/>
          <w:sz w:val="32"/>
          <w:szCs w:val="32"/>
        </w:rPr>
        <w:lastRenderedPageBreak/>
        <w:pict>
          <v:shape id="图片框 1034" o:spid="_x0000_i1034" type="#_x0000_t75" style="width:692.25pt;height:300.75pt">
            <v:imagedata r:id="rId15" o:title=""/>
          </v:shape>
        </w:pict>
      </w:r>
    </w:p>
    <w:p w:rsidR="00CF200E" w:rsidRDefault="00CF200E">
      <w:pPr>
        <w:rPr>
          <w:rFonts w:ascii="仿宋_GB2312" w:eastAsia="仿宋_GB2312" w:cs="宋体"/>
          <w:sz w:val="32"/>
          <w:szCs w:val="32"/>
        </w:rPr>
      </w:pPr>
    </w:p>
    <w:p w:rsidR="00CF200E" w:rsidRDefault="00EC2951">
      <w:pPr>
        <w:spacing w:line="58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cs="宋体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090000" w:fill="FFFFFF"/>
        </w:rPr>
        <w:t>第三部分</w:t>
      </w:r>
      <w:r>
        <w:rPr>
          <w:rFonts w:ascii="仿宋_GB2312" w:eastAsia="仿宋_GB2312" w:hAnsi="宋体" w:cs="宋体"/>
          <w:b/>
          <w:bCs/>
          <w:color w:val="000000"/>
          <w:sz w:val="32"/>
          <w:szCs w:val="32"/>
          <w:shd w:val="clear" w:color="090000" w:fill="FFFFFF"/>
        </w:rPr>
        <w:t xml:space="preserve">  </w:t>
      </w:r>
      <w:r>
        <w:rPr>
          <w:rFonts w:ascii="仿宋_GB2312" w:eastAsia="仿宋_GB2312" w:hAnsi="宋体" w:cs="宋体"/>
          <w:b/>
          <w:bCs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年部门决算情况说明</w:t>
      </w:r>
    </w:p>
    <w:p w:rsidR="00CF200E" w:rsidRDefault="00CF200E">
      <w:pPr>
        <w:spacing w:line="580" w:lineRule="exact"/>
        <w:rPr>
          <w:rFonts w:ascii="仿宋_GB2312" w:eastAsia="仿宋_GB2312" w:hAnsi="宋体" w:cs="宋体"/>
          <w:sz w:val="24"/>
        </w:rPr>
      </w:pPr>
    </w:p>
    <w:p w:rsidR="00CF200E" w:rsidRDefault="00EC2951">
      <w:pPr>
        <w:numPr>
          <w:ilvl w:val="0"/>
          <w:numId w:val="2"/>
        </w:numPr>
        <w:adjustRightInd/>
        <w:snapToGrid/>
        <w:spacing w:after="0" w:line="580" w:lineRule="exact"/>
        <w:rPr>
          <w:rFonts w:ascii="仿宋_GB2312" w:eastAsia="仿宋_GB2312" w:hAnsi="新宋体" w:cs="新宋体"/>
          <w:sz w:val="32"/>
          <w:szCs w:val="32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收入支出决算总体情况说明</w:t>
      </w:r>
    </w:p>
    <w:p w:rsidR="00CF200E" w:rsidRDefault="00EC295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 xml:space="preserve">    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年度预算收入为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610.63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529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年度预算安排较上年度增加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167.17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14.67%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。主要原因是财政拨款收入和上级拨款收入均有增加，财政拨款收入增加主要是人员经费增加，上级拨款增加是业务经费和业务装备经费增加。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163.56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163.56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主要是本年度结余的上级拨付的业务装备经费及业务费。</w:t>
      </w:r>
    </w:p>
    <w:p w:rsidR="00CF200E" w:rsidRDefault="00EC2951">
      <w:pPr>
        <w:numPr>
          <w:ilvl w:val="0"/>
          <w:numId w:val="2"/>
        </w:numPr>
        <w:spacing w:after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收入决算情况说明</w:t>
      </w:r>
    </w:p>
    <w:p w:rsidR="00CF200E" w:rsidRDefault="00CF200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万元，年初预算财政拨款收入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227.1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19.93%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</w:t>
      </w:r>
    </w:p>
    <w:p w:rsidR="00CF200E" w:rsidRDefault="00EC2951">
      <w:pPr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937.21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24.68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lastRenderedPageBreak/>
        <w:t>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2.63%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，主要减少了是业务经费和业务装备经费的开支。</w:t>
      </w:r>
    </w:p>
    <w:p w:rsidR="00CF200E" w:rsidRDefault="00EC2951">
      <w:pPr>
        <w:numPr>
          <w:ilvl w:val="0"/>
          <w:numId w:val="2"/>
        </w:numPr>
        <w:spacing w:after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支出决算情况说明</w:t>
      </w:r>
    </w:p>
    <w:p w:rsidR="00CF200E" w:rsidRDefault="00CF200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748.98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万元，年初预算财政拨款支出为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390.64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34.28%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，主要是项目经费支出减少。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748.98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844.21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95.23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，主要是项目经费支出减少。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年年初预算支出为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610.63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529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748.98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万元，支出决算按照功能分类情况：公共安全支出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745.52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万元，社会保障和就业支出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706.54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</w:p>
    <w:p w:rsidR="00CF200E" w:rsidRDefault="00EC295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四、财政拨款收入支出总体情况说明</w:t>
      </w:r>
    </w:p>
    <w:p w:rsidR="00CF200E" w:rsidRDefault="00EC2951">
      <w:pPr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  <w:t xml:space="preserve">   </w:t>
      </w:r>
    </w:p>
    <w:p w:rsidR="00CF200E" w:rsidRDefault="00EC2951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080000" w:fill="FFFFFF"/>
        </w:rPr>
        <w:t>（一）收入支出预算安排情况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年度财政拨款收入预算安排为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万元，财政拨款预算支出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610.63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lastRenderedPageBreak/>
        <w:t>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529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年度财政拨款预算安排支出减少了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390.65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34.28%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，项目经费减少。</w:t>
      </w:r>
    </w:p>
    <w:p w:rsidR="00CF200E" w:rsidRDefault="00EC2951">
      <w:pPr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" w:cs="仿宋"/>
          <w:color w:val="000000"/>
          <w:sz w:val="32"/>
          <w:szCs w:val="32"/>
          <w:shd w:val="clear" w:color="080000" w:fill="FFFFFF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080000" w:fill="FFFFFF"/>
        </w:rPr>
        <w:t>（二）收入支出预算执行情况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、收入支出与预算对比分析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1139.63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937.21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24.68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2.63%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748.98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万元，支出决算按照功能分类情况：公共安全支出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745.52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万元，社会保障和就业支出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706.54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706.54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万元。按照经济分类情况：工资福利支出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427.47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万元，商品和服务支出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152.97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万元，对个人和家庭的补助支出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126.1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万元，其他资本性支出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万元。</w:t>
      </w:r>
    </w:p>
    <w:p w:rsidR="00CF200E" w:rsidRDefault="00EC2951">
      <w:pPr>
        <w:numPr>
          <w:ilvl w:val="0"/>
          <w:numId w:val="3"/>
        </w:numPr>
        <w:spacing w:after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收入支出结构分析</w:t>
      </w:r>
    </w:p>
    <w:p w:rsidR="00CF200E" w:rsidRDefault="00EC295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年度决算总收入为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万元，其中：一般公共预算收入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912.53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。总收入较上年度减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24.68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2.63%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，主要是项目经费减少</w:t>
      </w:r>
    </w:p>
    <w:p w:rsidR="00CF200E" w:rsidRDefault="00EC295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年度决算总支出为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748.98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706.54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94.33%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；项目支出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5.67%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</w:t>
      </w:r>
    </w:p>
    <w:p w:rsidR="00CF200E" w:rsidRDefault="00EC295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163.55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163.55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主要是增加了本年度的项目经。</w:t>
      </w:r>
    </w:p>
    <w:p w:rsidR="00CF200E" w:rsidRDefault="00EC2951">
      <w:pPr>
        <w:numPr>
          <w:ilvl w:val="0"/>
          <w:numId w:val="4"/>
        </w:numPr>
        <w:spacing w:after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“三公”经费支出决算情况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   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 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（一）“三公”经费与上年度对比分析</w:t>
      </w:r>
    </w:p>
    <w:p w:rsidR="00CF200E" w:rsidRDefault="00CF200E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</w:p>
    <w:p w:rsidR="00CF200E" w:rsidRDefault="00CF200E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                                       </w:t>
      </w:r>
      <w:r>
        <w:rPr>
          <w:rFonts w:ascii="仿宋_GB2312" w:eastAsia="仿宋_GB2312" w:hAnsi="新宋体" w:cs="新宋体" w:hint="eastAsia"/>
          <w:color w:val="000000"/>
          <w:sz w:val="28"/>
          <w:szCs w:val="28"/>
          <w:shd w:val="clear" w:color="080000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4"/>
        <w:gridCol w:w="1485"/>
        <w:gridCol w:w="1455"/>
        <w:gridCol w:w="1335"/>
        <w:gridCol w:w="1253"/>
      </w:tblGrid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2016</w:t>
            </w: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2017</w:t>
            </w: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增减幅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45.84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-3.24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-7.07%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45.84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-3.24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-7.07%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33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45.84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-3.24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-7.07%</w:t>
            </w:r>
          </w:p>
        </w:tc>
      </w:tr>
    </w:tbl>
    <w:p w:rsidR="00CF200E" w:rsidRDefault="00EC295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根据工作需要，严格执行公务用车改革制度，加强日常用车管理，公务用车运行维护费大幅下降，公务用车购置费同上年度一样为零。</w:t>
      </w:r>
    </w:p>
    <w:p w:rsidR="00CF200E" w:rsidRDefault="00EC2951">
      <w:pPr>
        <w:ind w:firstLine="64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（二）“三公”经费支出预决算分析</w:t>
      </w:r>
    </w:p>
    <w:p w:rsidR="00CF200E" w:rsidRDefault="00CF200E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                                     </w:t>
      </w:r>
      <w:r>
        <w:rPr>
          <w:rFonts w:ascii="仿宋_GB2312" w:eastAsia="仿宋_GB2312" w:hAnsi="新宋体" w:cs="新宋体" w:hint="eastAsia"/>
          <w:color w:val="000000"/>
          <w:sz w:val="28"/>
          <w:szCs w:val="28"/>
          <w:shd w:val="clear" w:color="080000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4"/>
        <w:gridCol w:w="1485"/>
        <w:gridCol w:w="1455"/>
        <w:gridCol w:w="1335"/>
        <w:gridCol w:w="1253"/>
      </w:tblGrid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  <w:shd w:val="clear" w:color="090000" w:fill="FFFFFF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  <w:shd w:val="clear" w:color="090000" w:fill="FFFFFF"/>
              </w:rPr>
              <w:t>增减幅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33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253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45.6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-7.04%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45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33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253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45.6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-7.04%</w:t>
            </w: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45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335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253" w:type="dxa"/>
            <w:vAlign w:val="center"/>
          </w:tcPr>
          <w:p w:rsidR="00CF200E" w:rsidRDefault="00CF200E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</w:p>
        </w:tc>
      </w:tr>
      <w:tr w:rsidR="00CF20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080000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45.6</w:t>
            </w:r>
          </w:p>
        </w:tc>
        <w:tc>
          <w:tcPr>
            <w:tcW w:w="145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42.6</w:t>
            </w:r>
          </w:p>
        </w:tc>
        <w:tc>
          <w:tcPr>
            <w:tcW w:w="1335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-3</w:t>
            </w:r>
          </w:p>
        </w:tc>
        <w:tc>
          <w:tcPr>
            <w:tcW w:w="1253" w:type="dxa"/>
            <w:vAlign w:val="center"/>
          </w:tcPr>
          <w:p w:rsidR="00CF200E" w:rsidRDefault="00EC29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</w:pP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080000" w:fill="FFFFFF"/>
              </w:rPr>
              <w:t>-7.04%</w:t>
            </w:r>
          </w:p>
        </w:tc>
      </w:tr>
    </w:tbl>
    <w:p w:rsidR="00CF200E" w:rsidRDefault="00EC295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我部门因公出国费为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；公务用车保有量为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辆。国内公务接待为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。</w:t>
      </w:r>
    </w:p>
    <w:p w:rsidR="00CF200E" w:rsidRDefault="00EC2951">
      <w:pPr>
        <w:pStyle w:val="a6"/>
        <w:widowControl/>
        <w:numPr>
          <w:ilvl w:val="0"/>
          <w:numId w:val="5"/>
        </w:numPr>
        <w:shd w:val="clear" w:color="070000" w:fill="FFFFFF"/>
        <w:spacing w:before="315" w:beforeAutospacing="0" w:after="315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预算绩效管理工作开展情况说明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（一）绩效管理工作开展情况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根据市财政预算绩效管理要求，南宫市人民检察院以“部门职责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—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（二）预算项目绩效评价开展情况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 xml:space="preserve">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按照市财政预算绩效管理要求，南宫市人民检察院对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2017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年度确定的部门一般公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lastRenderedPageBreak/>
        <w:t>共预算支出项目全面开展了绩效自评，绩效自评盖率达到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100%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。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（三）预算项目绩效自评选例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 xml:space="preserve">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我单位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2017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度重点建设项目技侦楼维修项目和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业务装备购置项目。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 xml:space="preserve">  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技侦楼维修项目：我院技侦楼建于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2005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，楼顶及外观墙已多处出现破损，七、八楼漏水严重。严重影响了我院的正常办公办案。经院党组研究，决定启动该项目，以确保我院办公工作顺利开展，有效防止安全事故发生。该项目已按要求进行评审及招投标手续。绩效自评等级为良好。</w:t>
      </w:r>
    </w:p>
    <w:p w:rsidR="00CF200E" w:rsidRDefault="00EC2951">
      <w:pP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 xml:space="preserve">   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业务装备购置项目：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年上级划拨业务装备费为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93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年划拨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81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万元。合计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174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万元。其中，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年业务装备费中支出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30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余万元（是由邢台市政法委统一招投标安装的赃证物二维码管理平台设备。）剩余业务装备款合计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为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143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余万元。已按照评审及招投标手续顺利完成。绩效自评等级为良好。</w:t>
      </w:r>
      <w:bookmarkStart w:id="0" w:name="_GoBack"/>
      <w:bookmarkEnd w:id="0"/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七、其他重要事项的说明</w:t>
      </w:r>
    </w:p>
    <w:p w:rsidR="00CF200E" w:rsidRDefault="00CF200E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（一）会议费支出情况</w:t>
      </w:r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2017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年会议费支出为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年会议费支出为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万元，比上年减少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0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万元，减幅为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0%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。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 xml:space="preserve"> 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严格执行会议费支出的有关规定，控制数量和规模，厉行节约，减少开支。</w:t>
      </w:r>
    </w:p>
    <w:p w:rsidR="00CF200E" w:rsidRDefault="00EC2951">
      <w:pPr>
        <w:pStyle w:val="a6"/>
        <w:widowControl/>
        <w:shd w:val="clear" w:color="080000" w:fill="FFFFFF"/>
        <w:adjustRightInd w:val="0"/>
        <w:snapToGrid w:val="0"/>
        <w:spacing w:beforeAutospacing="0" w:afterAutospacing="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（二）培训费支出情况</w:t>
      </w:r>
    </w:p>
    <w:p w:rsidR="00CF200E" w:rsidRDefault="00EC2951">
      <w:pPr>
        <w:ind w:firstLine="640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lastRenderedPageBreak/>
        <w:t>2017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年培训费支出为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8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2016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年培训费支出为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6.09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万元，较上年增加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1.91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万元，增幅为</w:t>
      </w:r>
      <w:r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  <w:t>23.88%</w:t>
      </w: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，主要是专项培训增加。</w:t>
      </w:r>
    </w:p>
    <w:p w:rsidR="00CF200E" w:rsidRDefault="00EC2951">
      <w:pPr>
        <w:widowControl w:val="0"/>
        <w:spacing w:after="0"/>
        <w:jc w:val="both"/>
        <w:rPr>
          <w:rFonts w:ascii="仿宋_GB2312" w:eastAsia="仿宋_GB2312" w:hAnsi="新宋体" w:cs="新宋体"/>
          <w:color w:val="000000"/>
          <w:sz w:val="32"/>
          <w:szCs w:val="32"/>
          <w:shd w:val="clear" w:color="080000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080000" w:fill="FFFFFF"/>
        </w:rPr>
        <w:t>（三）机关运行经费情况</w:t>
      </w:r>
    </w:p>
    <w:p w:rsidR="00CF200E" w:rsidRDefault="00EC295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152.97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88.97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>
        <w:rPr>
          <w:rFonts w:ascii="仿宋_GB2312" w:eastAsia="仿宋_GB2312" w:hAnsi="仿宋_GB2312" w:cs="仿宋_GB2312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</w:rPr>
        <w:t>41.82%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。因办公费、其他交通费用等日常运转费用增加。</w:t>
      </w:r>
    </w:p>
    <w:p w:rsidR="00CF200E" w:rsidRDefault="00EC2951">
      <w:pPr>
        <w:widowControl w:val="0"/>
        <w:spacing w:after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（四）政府采购情况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年政府采购总计划金额</w:t>
      </w:r>
      <w:r>
        <w:rPr>
          <w:rFonts w:ascii="仿宋_GB2312" w:eastAsia="仿宋_GB2312" w:hAnsi="仿宋_GB2312" w:cs="仿宋_GB2312"/>
          <w:sz w:val="32"/>
          <w:szCs w:val="32"/>
        </w:rPr>
        <w:t xml:space="preserve"> 267.55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万元，其中：货物采购计划</w:t>
      </w:r>
      <w:r>
        <w:rPr>
          <w:rFonts w:ascii="仿宋_GB2312" w:eastAsia="仿宋_GB2312" w:hAnsi="仿宋_GB2312" w:cs="仿宋_GB2312"/>
          <w:sz w:val="32"/>
          <w:szCs w:val="32"/>
        </w:rPr>
        <w:t>140.12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万元；工程计划</w:t>
      </w:r>
      <w:r>
        <w:rPr>
          <w:rFonts w:ascii="仿宋_GB2312" w:eastAsia="仿宋_GB2312" w:hAnsi="仿宋_GB2312" w:cs="仿宋_GB2312"/>
          <w:sz w:val="32"/>
          <w:szCs w:val="32"/>
        </w:rPr>
        <w:t>127.43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年实际总采购金额</w:t>
      </w:r>
      <w:r>
        <w:rPr>
          <w:rFonts w:ascii="仿宋_GB2312" w:eastAsia="仿宋_GB2312" w:hAnsi="仿宋_GB2312" w:cs="仿宋_GB2312"/>
          <w:sz w:val="32"/>
          <w:szCs w:val="32"/>
        </w:rPr>
        <w:t>264.9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万元，其中：实际货物采购</w:t>
      </w:r>
      <w:r>
        <w:rPr>
          <w:rFonts w:ascii="仿宋_GB2312" w:eastAsia="仿宋_GB2312" w:hAnsi="仿宋_GB2312" w:cs="仿宋_GB2312"/>
          <w:sz w:val="32"/>
          <w:szCs w:val="32"/>
        </w:rPr>
        <w:t>138.2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万元；实际工程采购</w:t>
      </w:r>
      <w:r>
        <w:rPr>
          <w:rFonts w:ascii="仿宋_GB2312" w:eastAsia="仿宋_GB2312" w:hAnsi="仿宋_GB2312" w:cs="仿宋_GB2312"/>
          <w:sz w:val="32"/>
          <w:szCs w:val="32"/>
        </w:rPr>
        <w:t>126.7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万元。资金来源均为一般公共预算拨款。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年较上年增加</w:t>
      </w:r>
      <w:r>
        <w:rPr>
          <w:rFonts w:ascii="仿宋_GB2312" w:eastAsia="仿宋_GB2312" w:hAnsi="仿宋_GB2312" w:cs="仿宋_GB2312"/>
          <w:sz w:val="32"/>
          <w:szCs w:val="32"/>
        </w:rPr>
        <w:t>264.9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。主要为货物、工程采购均有增加。</w:t>
      </w:r>
    </w:p>
    <w:p w:rsidR="00CF200E" w:rsidRDefault="00EC295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日，本部门共有车辆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辆，其中一般公务用车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辆，其他用车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辆。单价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CF200E" w:rsidRDefault="00EC295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>
        <w:rPr>
          <w:rFonts w:ascii="仿宋_GB2312" w:eastAsia="仿宋_GB2312" w:hAnsi="仿宋_GB2312" w:cs="仿宋_GB2312"/>
          <w:sz w:val="32"/>
          <w:szCs w:val="32"/>
        </w:rPr>
        <w:t>2656.74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>
        <w:rPr>
          <w:rFonts w:ascii="仿宋_GB2312" w:eastAsia="仿宋_GB2312" w:hAnsi="仿宋_GB2312" w:cs="仿宋_GB2312"/>
          <w:sz w:val="32"/>
          <w:szCs w:val="32"/>
        </w:rPr>
        <w:t>2857.05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>
        <w:rPr>
          <w:rFonts w:ascii="仿宋_GB2312" w:eastAsia="仿宋_GB2312" w:hAnsi="仿宋_GB2312" w:cs="仿宋_GB2312"/>
          <w:sz w:val="32"/>
          <w:szCs w:val="32"/>
        </w:rPr>
        <w:t>163.56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>
        <w:rPr>
          <w:rFonts w:ascii="仿宋_GB2312" w:eastAsia="仿宋_GB2312" w:hAnsi="仿宋_GB2312" w:cs="仿宋_GB2312"/>
          <w:sz w:val="32"/>
          <w:szCs w:val="32"/>
        </w:rPr>
        <w:t>2693.50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>
        <w:rPr>
          <w:rFonts w:ascii="仿宋_GB2312" w:eastAsia="仿宋_GB2312" w:hAnsi="仿宋_GB2312" w:cs="仿宋_GB2312"/>
          <w:sz w:val="32"/>
          <w:szCs w:val="32"/>
        </w:rPr>
        <w:t>1510.18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142.58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>
        <w:rPr>
          <w:rFonts w:ascii="仿宋_GB2312" w:eastAsia="仿宋_GB2312" w:hAnsi="仿宋_GB2312" w:cs="仿宋_GB2312"/>
          <w:sz w:val="32"/>
          <w:szCs w:val="32"/>
        </w:rPr>
        <w:t>1040.74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CF200E" w:rsidRDefault="00EC2951">
      <w:pPr>
        <w:widowControl w:val="0"/>
        <w:spacing w:after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（六）资产负债情况</w:t>
      </w:r>
    </w:p>
    <w:p w:rsidR="00CF200E" w:rsidRDefault="00EC2951">
      <w:pPr>
        <w:widowControl w:val="0"/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年，南宫市人民检察院总</w:t>
      </w:r>
      <w:r>
        <w:rPr>
          <w:rFonts w:ascii="仿宋_GB2312" w:eastAsia="仿宋_GB2312" w:hAnsi="仿宋_GB2312" w:cs="仿宋_GB2312" w:hint="eastAsia"/>
          <w:sz w:val="32"/>
          <w:szCs w:val="32"/>
        </w:rPr>
        <w:t>资产为</w:t>
      </w:r>
      <w:r>
        <w:rPr>
          <w:rFonts w:ascii="仿宋_GB2312" w:eastAsia="仿宋_GB2312" w:hAnsi="仿宋_GB2312" w:cs="仿宋_GB2312"/>
          <w:sz w:val="32"/>
          <w:szCs w:val="32"/>
        </w:rPr>
        <w:t>2857.05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/>
          <w:sz w:val="32"/>
          <w:szCs w:val="32"/>
        </w:rPr>
        <w:t>2857.05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</w:t>
      </w:r>
      <w:r>
        <w:rPr>
          <w:rFonts w:ascii="仿宋_GB2312" w:eastAsia="仿宋_GB2312" w:hAnsi="仿宋_GB2312" w:cs="仿宋_GB2312"/>
          <w:sz w:val="32"/>
          <w:szCs w:val="32"/>
        </w:rPr>
        <w:t>107.31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</w:rPr>
        <w:t>3.76%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，原因是流动资产增加；净资产增加了</w:t>
      </w:r>
      <w:r>
        <w:rPr>
          <w:rFonts w:ascii="仿宋_GB2312" w:eastAsia="仿宋_GB2312" w:hAnsi="仿宋_GB2312" w:cs="仿宋_GB2312"/>
          <w:sz w:val="32"/>
          <w:szCs w:val="32"/>
        </w:rPr>
        <w:t>107.31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</w:rPr>
        <w:t>3.76%</w:t>
      </w:r>
    </w:p>
    <w:p w:rsidR="00CF200E" w:rsidRDefault="00EC295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CF200E" w:rsidRDefault="00EC295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年度南宫市人民检察院总资产为</w:t>
      </w:r>
      <w:r>
        <w:rPr>
          <w:rFonts w:ascii="仿宋_GB2312" w:eastAsia="仿宋_GB2312" w:hAnsi="仿宋_GB2312" w:cs="仿宋_GB2312"/>
          <w:sz w:val="32"/>
          <w:szCs w:val="32"/>
        </w:rPr>
        <w:t>2857.05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/>
          <w:sz w:val="32"/>
          <w:szCs w:val="32"/>
        </w:rPr>
        <w:t xml:space="preserve"> 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万元，资产负债率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F200E" w:rsidRDefault="00EC295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新宋体" w:cs="新宋体"/>
          <w:sz w:val="32"/>
          <w:szCs w:val="32"/>
        </w:rPr>
        <w:t xml:space="preserve"> </w:t>
      </w:r>
      <w:r>
        <w:rPr>
          <w:rFonts w:ascii="仿宋_GB2312" w:eastAsia="仿宋_GB2312" w:hAnsi="新宋体" w:cs="新宋体" w:hint="eastAsia"/>
          <w:sz w:val="32"/>
          <w:szCs w:val="32"/>
        </w:rPr>
        <w:t>八、其他需要说明的问题</w:t>
      </w:r>
    </w:p>
    <w:p w:rsidR="00CF200E" w:rsidRDefault="00EC2951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我部门不涉及《政府性基金预算财政拨款收入支出决算表》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和《国有资本经营预算财政拨款收入支出决算表》，因此均为空表。</w:t>
      </w:r>
    </w:p>
    <w:p w:rsidR="00CF200E" w:rsidRDefault="00EC2951">
      <w:pPr>
        <w:spacing w:line="58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第四部分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z w:val="32"/>
          <w:szCs w:val="32"/>
        </w:rPr>
        <w:t>名词解释</w:t>
      </w:r>
    </w:p>
    <w:p w:rsidR="00CF200E" w:rsidRDefault="00CF200E">
      <w:pPr>
        <w:spacing w:line="580" w:lineRule="exact"/>
        <w:rPr>
          <w:rFonts w:ascii="仿宋_GB2312" w:eastAsia="仿宋_GB2312" w:cs="宋体"/>
          <w:sz w:val="32"/>
          <w:szCs w:val="32"/>
        </w:rPr>
      </w:pP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事业收入：指事业单位开展专业业务活动及辅助活动所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度积累的事业基金（事业单位当年收支相抵后按国家规定提取、用于弥补以后年度收支差额的基金）弥补</w:t>
      </w:r>
      <w:r>
        <w:rPr>
          <w:rFonts w:ascii="仿宋_GB2312" w:eastAsia="仿宋_GB2312" w:hAnsi="仿宋_GB2312" w:cs="仿宋_GB2312" w:hint="eastAsia"/>
          <w:sz w:val="32"/>
          <w:szCs w:val="32"/>
        </w:rPr>
        <w:t>本年度收支缺口的资金。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非财政补助结余中分配的事业基金和职工福利基金等。</w:t>
      </w:r>
    </w:p>
    <w:p w:rsidR="00CF200E" w:rsidRDefault="00EC2951">
      <w:pPr>
        <w:widowControl w:val="0"/>
        <w:numPr>
          <w:ilvl w:val="0"/>
          <w:numId w:val="6"/>
        </w:numPr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年度继续使用的资金，或项目已完成等产生的结余资金。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十、基本建设支出：填列由本级发展与改革部门集中安排的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</w:t>
      </w:r>
      <w:r>
        <w:rPr>
          <w:rFonts w:ascii="仿宋_GB2312" w:eastAsia="仿宋_GB2312" w:hAnsi="仿宋_GB2312" w:cs="仿宋_GB2312" w:hint="eastAsia"/>
          <w:sz w:val="32"/>
          <w:szCs w:val="32"/>
        </w:rPr>
        <w:t>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反映单位公务用车购置支出（含车辆购置税）及租用费、燃料费、维修费、过路过桥费、保险费、安全奖励费用等支出；公务接待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</w:t>
      </w:r>
      <w:r>
        <w:rPr>
          <w:rFonts w:ascii="仿宋_GB2312" w:eastAsia="仿宋_GB2312" w:hAnsi="仿宋_GB2312" w:cs="仿宋_GB2312"/>
          <w:sz w:val="32"/>
          <w:szCs w:val="32"/>
        </w:rPr>
        <w:t xml:space="preserve"> 38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费、保险费、出租车费用、公务交通补贴等。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CF200E" w:rsidRDefault="00EC29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十五、其他交通工具购置：填列单位除公务用车外的其他各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CF200E" w:rsidRDefault="00EC295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CF200E" w:rsidRDefault="00CF200E">
      <w:pPr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CF200E" w:rsidRDefault="00CF200E">
      <w:pPr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CF200E" w:rsidRDefault="00CF200E">
      <w:pPr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CF200E" w:rsidRDefault="00CF200E">
      <w:pPr>
        <w:rPr>
          <w:rFonts w:ascii="仿宋" w:eastAsia="仿宋" w:hAnsi="仿宋" w:cs="仿宋"/>
          <w:sz w:val="32"/>
          <w:szCs w:val="32"/>
        </w:rPr>
      </w:pPr>
    </w:p>
    <w:p w:rsidR="00CF200E" w:rsidRDefault="00CF200E">
      <w:pPr>
        <w:spacing w:line="220" w:lineRule="atLeast"/>
        <w:rPr>
          <w:rFonts w:ascii="仿宋_GB2312" w:eastAsia="仿宋_GB2312"/>
        </w:rPr>
      </w:pPr>
    </w:p>
    <w:sectPr w:rsidR="00CF200E" w:rsidSect="00CF2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0E"/>
    <w:rsid w:val="00CF200E"/>
    <w:rsid w:val="00E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0E"/>
    <w:pPr>
      <w:adjustRightInd w:val="0"/>
      <w:snapToGrid w:val="0"/>
      <w:spacing w:after="200"/>
    </w:pPr>
    <w:rPr>
      <w:rFonts w:ascii="Tahoma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F200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F20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F20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CF200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  <w:style w:type="character" w:styleId="a7">
    <w:name w:val="Strong"/>
    <w:basedOn w:val="a0"/>
    <w:uiPriority w:val="99"/>
    <w:qFormat/>
    <w:rsid w:val="00CF200E"/>
    <w:rPr>
      <w:rFonts w:cs="Times New Roman"/>
      <w:b/>
    </w:rPr>
  </w:style>
  <w:style w:type="character" w:customStyle="1" w:styleId="Char1">
    <w:name w:val="页眉 Char"/>
    <w:basedOn w:val="a0"/>
    <w:link w:val="a5"/>
    <w:uiPriority w:val="99"/>
    <w:semiHidden/>
    <w:locked/>
    <w:rsid w:val="00CF200E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F200E"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F200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</dc:title>
  <dc:creator>Administrator</dc:creator>
  <cp:lastModifiedBy>Administrator</cp:lastModifiedBy>
  <cp:revision>1</cp:revision>
  <dcterms:created xsi:type="dcterms:W3CDTF">2019-03-07T01:35:00Z</dcterms:created>
  <dcterms:modified xsi:type="dcterms:W3CDTF">2018-10-29T08:43:00Z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