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0562DA" w:rsidRDefault="00B67492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52"/>
          <w:szCs w:val="52"/>
          <w:shd w:val="clear" w:color="auto" w:fill="FFFFFF"/>
        </w:rPr>
        <w:t>2017</w:t>
      </w:r>
      <w:r w:rsidR="00C74943">
        <w:rPr>
          <w:rStyle w:val="a4"/>
          <w:rFonts w:ascii="黑体" w:eastAsia="黑体" w:hAnsi="黑体" w:cs="黑体" w:hint="eastAsia"/>
          <w:color w:val="000000"/>
          <w:sz w:val="52"/>
          <w:szCs w:val="52"/>
          <w:shd w:val="clear" w:color="auto" w:fill="FFFFFF"/>
        </w:rPr>
        <w:t>年度</w:t>
      </w: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</w:p>
    <w:p w:rsidR="000562DA" w:rsidRDefault="00C74943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Chars="500" w:firstLine="2610"/>
        <w:jc w:val="both"/>
        <w:rPr>
          <w:rFonts w:ascii="黑体" w:eastAsia="黑体" w:hAnsi="黑体" w:cs="黑体"/>
          <w:b/>
          <w:color w:val="000000"/>
          <w:sz w:val="52"/>
          <w:szCs w:val="52"/>
        </w:rPr>
      </w:pPr>
      <w:r>
        <w:rPr>
          <w:rStyle w:val="a4"/>
          <w:rFonts w:ascii="黑体" w:eastAsia="黑体" w:hAnsi="黑体" w:cs="黑体" w:hint="eastAsia"/>
          <w:color w:val="000000"/>
          <w:sz w:val="52"/>
          <w:szCs w:val="52"/>
          <w:shd w:val="clear" w:color="auto" w:fill="FFFFFF"/>
        </w:rPr>
        <w:t>部门决算公开</w:t>
      </w: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</w:p>
    <w:p w:rsidR="000562DA" w:rsidRDefault="00C74943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南宫市供销合作社联合社</w:t>
      </w:r>
    </w:p>
    <w:p w:rsidR="000562DA" w:rsidRDefault="00C74943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2018</w:t>
      </w:r>
      <w:r>
        <w:rPr>
          <w:rStyle w:val="a4"/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Style w:val="a4"/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10</w:t>
      </w:r>
      <w:r>
        <w:rPr>
          <w:rStyle w:val="a4"/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月</w:t>
      </w:r>
    </w:p>
    <w:p w:rsidR="000562DA" w:rsidRDefault="000562DA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0562DA" w:rsidRDefault="000562DA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0562DA" w:rsidRDefault="00C74943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both"/>
        <w:rPr>
          <w:rStyle w:val="a4"/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t xml:space="preserve">              </w:t>
      </w:r>
    </w:p>
    <w:p w:rsidR="000562DA" w:rsidRDefault="00C74943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both"/>
        <w:rPr>
          <w:rFonts w:ascii="宋体" w:hAnsi="宋体" w:cs="宋体"/>
          <w:sz w:val="32"/>
          <w:szCs w:val="32"/>
        </w:rPr>
      </w:pPr>
      <w:r>
        <w:rPr>
          <w:rStyle w:val="a4"/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                     </w:t>
      </w:r>
      <w:r>
        <w:rPr>
          <w:rFonts w:eastAsia="方正小标宋_GBK" w:hAnsi="宋体" w:cs="宋体" w:hint="eastAsia"/>
          <w:b/>
          <w:bCs/>
          <w:sz w:val="32"/>
          <w:szCs w:val="32"/>
        </w:rPr>
        <w:t>目</w:t>
      </w:r>
      <w:r>
        <w:rPr>
          <w:rFonts w:eastAsia="方正小标宋_GBK" w:hAnsi="宋体" w:cs="宋体" w:hint="eastAsia"/>
          <w:b/>
          <w:bCs/>
          <w:sz w:val="32"/>
          <w:szCs w:val="32"/>
        </w:rPr>
        <w:t xml:space="preserve">    </w:t>
      </w:r>
      <w:r>
        <w:rPr>
          <w:rFonts w:eastAsia="方正小标宋_GBK" w:hAnsi="宋体" w:cs="宋体" w:hint="eastAsia"/>
          <w:b/>
          <w:bCs/>
          <w:sz w:val="32"/>
          <w:szCs w:val="32"/>
        </w:rPr>
        <w:t>录</w:t>
      </w:r>
    </w:p>
    <w:p w:rsidR="000562DA" w:rsidRDefault="00C74943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 </w:t>
      </w:r>
    </w:p>
    <w:p w:rsidR="000562DA" w:rsidRDefault="00C74943">
      <w:pPr>
        <w:widowControl/>
        <w:numPr>
          <w:ilvl w:val="0"/>
          <w:numId w:val="1"/>
        </w:numPr>
        <w:spacing w:line="580" w:lineRule="exact"/>
        <w:jc w:val="left"/>
        <w:rPr>
          <w:rFonts w:eastAsia="黑体" w:cs="宋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南宫市供销合作社联合社</w:t>
      </w:r>
      <w:r>
        <w:rPr>
          <w:rFonts w:eastAsia="黑体" w:cs="宋体" w:hint="eastAsia"/>
          <w:kern w:val="0"/>
          <w:sz w:val="32"/>
          <w:szCs w:val="32"/>
        </w:rPr>
        <w:t>部门概况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（一）主要职能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（二）部门组成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黑体" w:cs="宋体" w:hint="eastAsia"/>
          <w:kern w:val="0"/>
          <w:sz w:val="32"/>
          <w:szCs w:val="32"/>
        </w:rPr>
        <w:t>二、南宫市供销合作社联合社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年度部门决算表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（一）收入支出决算总表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（二）收入决算表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（三）支出决算表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（四）财政拨款收入支出决算总表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（五）一般公共预算财政拨款收入支出决算表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（六）一般公共预算财政拨款基本支出决算经济分类表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（七）政府性基金预算财政拨款收入支出决算表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（八）国有资本经营预算财政拨款收入支出决算表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（九）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经费等相关信息统计表</w:t>
      </w:r>
    </w:p>
    <w:p w:rsidR="000562DA" w:rsidRDefault="00C74943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（十）政府采购情况表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黑体" w:cs="宋体" w:hint="eastAsia"/>
          <w:kern w:val="0"/>
          <w:sz w:val="32"/>
          <w:szCs w:val="32"/>
        </w:rPr>
        <w:t>三、南宫市供销合作社联合社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年部门决算情况说明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（一）收入支出决算总体情况说明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（二）收入决算情况说明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（三）支出决算情况说明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（四）财政拨款收入支出决算总体情况说明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（五）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经费支出决算情况说明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（六）预算绩效管理工作开展情况说明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（七）其他重要事项的说明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 w:hAnsi="宋体" w:cs="宋体" w:hint="eastAsia"/>
          <w:kern w:val="0"/>
          <w:sz w:val="32"/>
          <w:szCs w:val="32"/>
        </w:rPr>
        <w:t>机关运行经费情况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 w:hAnsi="宋体" w:cs="宋体" w:hint="eastAsia"/>
          <w:kern w:val="0"/>
          <w:sz w:val="32"/>
          <w:szCs w:val="32"/>
        </w:rPr>
        <w:t>国有资产占用情况</w:t>
      </w:r>
    </w:p>
    <w:p w:rsidR="000562DA" w:rsidRDefault="00C74943">
      <w:pPr>
        <w:widowControl/>
        <w:spacing w:line="58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4.</w:t>
      </w:r>
      <w:r>
        <w:rPr>
          <w:rFonts w:eastAsia="仿宋_GB2312" w:hAnsi="宋体" w:cs="宋体" w:hint="eastAsia"/>
          <w:kern w:val="0"/>
          <w:sz w:val="32"/>
          <w:szCs w:val="32"/>
        </w:rPr>
        <w:t>其他需要说明的情况</w:t>
      </w:r>
    </w:p>
    <w:p w:rsidR="000562DA" w:rsidRDefault="00C74943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eastAsia="黑体" w:cs="宋体" w:hint="eastAsia"/>
          <w:kern w:val="0"/>
          <w:sz w:val="32"/>
          <w:szCs w:val="32"/>
        </w:rPr>
        <w:t>第四部分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cs="宋体" w:hint="eastAsia"/>
          <w:kern w:val="0"/>
          <w:sz w:val="32"/>
          <w:szCs w:val="32"/>
        </w:rPr>
        <w:t>名词解释</w:t>
      </w:r>
    </w:p>
    <w:p w:rsidR="000562DA" w:rsidRDefault="000562D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0562DA" w:rsidRDefault="000562DA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both"/>
        <w:rPr>
          <w:rFonts w:ascii="宋体" w:eastAsia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</w:t>
      </w: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both"/>
        <w:rPr>
          <w:rFonts w:ascii="宋体" w:eastAsia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both"/>
        <w:rPr>
          <w:rFonts w:ascii="宋体" w:eastAsia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 xml:space="preserve">            </w:t>
      </w:r>
    </w:p>
    <w:p w:rsidR="000562DA" w:rsidRDefault="00C74943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lastRenderedPageBreak/>
        <w:t>第一部分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 xml:space="preserve">   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部门概况</w:t>
      </w:r>
    </w:p>
    <w:p w:rsidR="000562DA" w:rsidRDefault="00C74943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 xml:space="preserve">　　</w:t>
      </w:r>
    </w:p>
    <w:p w:rsidR="000562DA" w:rsidRDefault="00C74943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主要职能</w:t>
      </w: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要在新形势下推进供销合作社改革发展，全面贯彻党的十八大和十八届三中、四中、五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中、六中全会精神，以邓小平理论和“三个代表”重要思想为指导，深入贯彻落实科学发展观，坚持为农服务宗旨，坚持社会主义市场经济改革方向，坚持合作制基本原则，大力推进经营创新，组织创新，服务创新，加快构建运转高效、功能完备，城乡并举，工贸并重的农村现代化经营服务新体系，努力成为农业社会化服务的骨干力量，农村现代化流通的主导力量，农村专业合作社的带动力量，真正办成农民的合作经济组织，不断深化盐业体质改革，加强盐业稽查队伍，管好盐业市场。监管好鞭炮流通环节。不断开创中国特色供销合作事业新局面。</w:t>
      </w: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二、部门组成</w:t>
      </w: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562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7pt;margin-top:78.6pt;width:299.25pt;height:50.25pt;z-index:251658240" o:gfxdata="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tsHM62QAAAAoBAAAPAAAAAAAAAAEA&#10;IAAAACIAAABkcnMvZG93bnJldi54bWxQSwECFAAUAAAACACHTuJARPnmC0cCAAB3BAAADgAAAAAA&#10;AAABACAAAAAoAQAAZHJzL2Uyb0RvYy54bWxQSwUGAAAAAAYABgBZAQAA4QUAAAAA&#10;" fillcolor="white [3212]" strokecolor="#e7e6e6" strokeweight=".5pt">
            <v:stroke joinstyle="round"/>
            <v:textbox>
              <w:txbxContent>
                <w:p w:rsidR="000562DA" w:rsidRDefault="00C74943">
                  <w:pPr>
                    <w:widowControl/>
                    <w:spacing w:line="580" w:lineRule="exact"/>
                    <w:rPr>
                      <w:rFonts w:asciiTheme="majorEastAsia" w:eastAsiaTheme="majorEastAsia" w:hAnsiTheme="majorEastAsia" w:cstheme="majorEastAsia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</w:t>
                  </w: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第二部分</w:t>
                  </w: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黑体" w:eastAsia="黑体" w:hAnsi="黑体" w:cs="黑体" w:hint="eastAsia"/>
                      <w:b/>
                      <w:bCs/>
                      <w:kern w:val="0"/>
                      <w:sz w:val="32"/>
                      <w:szCs w:val="32"/>
                    </w:rPr>
                    <w:t>2017</w:t>
                  </w:r>
                  <w:r>
                    <w:rPr>
                      <w:rFonts w:ascii="黑体" w:eastAsia="黑体" w:hAnsi="黑体" w:cs="黑体" w:hint="eastAsia"/>
                      <w:b/>
                      <w:bCs/>
                      <w:kern w:val="0"/>
                      <w:sz w:val="32"/>
                      <w:szCs w:val="32"/>
                    </w:rPr>
                    <w:t>年部门决算表</w:t>
                  </w:r>
                </w:p>
                <w:p w:rsidR="000562DA" w:rsidRDefault="000562DA"/>
              </w:txbxContent>
            </v:textbox>
          </v:shape>
        </w:pict>
      </w:r>
      <w:r w:rsidR="00C7494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="00C749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C749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南宫市供销合作社联合社为全额拨款事业单位，（正科级单位）下设办公室</w:t>
      </w:r>
      <w:r w:rsidR="00C749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,</w:t>
      </w:r>
      <w:r w:rsidR="00C749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人教科</w:t>
      </w:r>
      <w:r w:rsidR="00C749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</w:t>
      </w:r>
      <w:r w:rsidR="00C749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财务科</w:t>
      </w:r>
      <w:r w:rsidR="00C749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</w:t>
      </w:r>
      <w:r w:rsidR="00C749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业务科等科室</w:t>
      </w:r>
      <w:r w:rsidR="00C749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</w:t>
      </w: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sectPr w:rsidR="000562D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562DA" w:rsidRDefault="000562DA">
      <w:r>
        <w:object w:dxaOrig="14085" w:dyaOrig="11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560.25pt" o:ole="">
            <v:imagedata r:id="rId6" o:title=""/>
            <o:lock v:ext="edit" aspectratio="f"/>
          </v:shape>
          <o:OLEObject Type="Embed" ProgID="Office12.Excel.Template" ShapeID="_x0000_i1025" DrawAspect="Content" ObjectID="_1602332261" r:id="rId7"/>
        </w:object>
      </w:r>
      <w:r w:rsidR="00C74943">
        <w:rPr>
          <w:noProof/>
        </w:rPr>
        <w:drawing>
          <wp:inline distT="0" distB="0" distL="114300" distR="114300">
            <wp:extent cx="8401685" cy="3318510"/>
            <wp:effectExtent l="0" t="0" r="18415" b="1524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62DA" w:rsidRDefault="000562DA"/>
    <w:p w:rsidR="000562DA" w:rsidRDefault="000562DA"/>
    <w:p w:rsidR="000562DA" w:rsidRDefault="000562DA"/>
    <w:p w:rsidR="000562DA" w:rsidRDefault="000562DA"/>
    <w:p w:rsidR="000562DA" w:rsidRDefault="000562DA"/>
    <w:p w:rsidR="000562DA" w:rsidRDefault="00C74943">
      <w:r>
        <w:rPr>
          <w:noProof/>
        </w:rPr>
        <w:lastRenderedPageBreak/>
        <w:drawing>
          <wp:inline distT="0" distB="0" distL="114300" distR="114300">
            <wp:extent cx="8681085" cy="4335145"/>
            <wp:effectExtent l="0" t="0" r="5715" b="8255"/>
            <wp:docPr id="1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085" cy="4335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62DA" w:rsidRDefault="000562DA"/>
    <w:p w:rsidR="000562DA" w:rsidRDefault="000562DA"/>
    <w:p w:rsidR="000562DA" w:rsidRDefault="000562DA"/>
    <w:p w:rsidR="000562DA" w:rsidRDefault="00C74943">
      <w:r>
        <w:rPr>
          <w:noProof/>
        </w:rPr>
        <w:lastRenderedPageBreak/>
        <w:drawing>
          <wp:inline distT="0" distB="0" distL="114300" distR="114300">
            <wp:extent cx="8901430" cy="5996305"/>
            <wp:effectExtent l="0" t="0" r="13970" b="4445"/>
            <wp:docPr id="1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1430" cy="5996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62DA" w:rsidRDefault="00C74943">
      <w:r>
        <w:rPr>
          <w:noProof/>
        </w:rPr>
        <w:lastRenderedPageBreak/>
        <w:drawing>
          <wp:inline distT="0" distB="0" distL="114300" distR="114300">
            <wp:extent cx="8924290" cy="4056380"/>
            <wp:effectExtent l="0" t="0" r="10160" b="1270"/>
            <wp:docPr id="1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4290" cy="4056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62DA" w:rsidRDefault="000562DA"/>
    <w:p w:rsidR="000562DA" w:rsidRDefault="000562DA"/>
    <w:p w:rsidR="000562DA" w:rsidRDefault="000562DA"/>
    <w:p w:rsidR="000562DA" w:rsidRDefault="000562DA"/>
    <w:p w:rsidR="000562DA" w:rsidRDefault="000562DA"/>
    <w:p w:rsidR="000562DA" w:rsidRDefault="00C74943">
      <w:r>
        <w:rPr>
          <w:noProof/>
        </w:rPr>
        <w:lastRenderedPageBreak/>
        <w:drawing>
          <wp:inline distT="0" distB="0" distL="114300" distR="114300">
            <wp:extent cx="8512175" cy="5661660"/>
            <wp:effectExtent l="0" t="0" r="3175" b="15240"/>
            <wp:docPr id="1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2175" cy="5661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62DA" w:rsidRDefault="000562DA"/>
    <w:p w:rsidR="000562DA" w:rsidRDefault="00C74943">
      <w:r>
        <w:rPr>
          <w:noProof/>
        </w:rPr>
        <w:lastRenderedPageBreak/>
        <w:drawing>
          <wp:inline distT="0" distB="0" distL="114300" distR="114300">
            <wp:extent cx="8392160" cy="3411855"/>
            <wp:effectExtent l="0" t="0" r="8890" b="17145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16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62DA" w:rsidRDefault="000562DA"/>
    <w:p w:rsidR="000562DA" w:rsidRDefault="000562DA"/>
    <w:p w:rsidR="000562DA" w:rsidRDefault="000562DA"/>
    <w:p w:rsidR="000562DA" w:rsidRDefault="000562DA"/>
    <w:p w:rsidR="000562DA" w:rsidRDefault="000562DA"/>
    <w:p w:rsidR="000562DA" w:rsidRDefault="000562DA"/>
    <w:p w:rsidR="000562DA" w:rsidRDefault="000562DA"/>
    <w:p w:rsidR="000562DA" w:rsidRDefault="000562DA"/>
    <w:p w:rsidR="000562DA" w:rsidRDefault="000562DA"/>
    <w:p w:rsidR="000562DA" w:rsidRDefault="000562DA"/>
    <w:p w:rsidR="000562DA" w:rsidRDefault="00C74943">
      <w:r>
        <w:rPr>
          <w:noProof/>
        </w:rPr>
        <w:lastRenderedPageBreak/>
        <w:drawing>
          <wp:inline distT="0" distB="0" distL="114300" distR="114300">
            <wp:extent cx="8863330" cy="3482340"/>
            <wp:effectExtent l="0" t="0" r="13970" b="3810"/>
            <wp:docPr id="1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82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62DA" w:rsidRDefault="000562DA"/>
    <w:p w:rsidR="000562DA" w:rsidRDefault="000562DA"/>
    <w:p w:rsidR="000562DA" w:rsidRDefault="000562DA"/>
    <w:p w:rsidR="000562DA" w:rsidRDefault="000562DA"/>
    <w:p w:rsidR="000562DA" w:rsidRDefault="000562DA"/>
    <w:p w:rsidR="000562DA" w:rsidRDefault="00C74943">
      <w:r>
        <w:rPr>
          <w:noProof/>
        </w:rPr>
        <w:lastRenderedPageBreak/>
        <w:drawing>
          <wp:inline distT="0" distB="0" distL="114300" distR="114300">
            <wp:extent cx="8859520" cy="4218940"/>
            <wp:effectExtent l="0" t="0" r="17780" b="10160"/>
            <wp:docPr id="20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7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62DA" w:rsidRDefault="000562DA"/>
    <w:p w:rsidR="000562DA" w:rsidRDefault="000562DA">
      <w:pPr>
        <w:sectPr w:rsidR="000562DA">
          <w:type w:val="continuous"/>
          <w:pgSz w:w="16838" w:h="11906" w:orient="landscape"/>
          <w:pgMar w:top="646" w:right="1800" w:bottom="1440" w:left="1800" w:header="851" w:footer="992" w:gutter="0"/>
          <w:cols w:space="0"/>
          <w:docGrid w:type="lines" w:linePitch="312"/>
        </w:sectPr>
      </w:pPr>
    </w:p>
    <w:p w:rsidR="000562DA" w:rsidRDefault="00C74943">
      <w:pPr>
        <w:sectPr w:rsidR="000562D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noProof/>
        </w:rPr>
        <w:lastRenderedPageBreak/>
        <w:drawing>
          <wp:inline distT="0" distB="0" distL="114300" distR="114300">
            <wp:extent cx="8865870" cy="4972050"/>
            <wp:effectExtent l="0" t="0" r="11430" b="0"/>
            <wp:docPr id="17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587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62DA" w:rsidRDefault="000562DA"/>
    <w:p w:rsidR="000562DA" w:rsidRDefault="00C74943">
      <w:pPr>
        <w:widowControl/>
        <w:spacing w:line="58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第三部分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2017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年部门决算情况说明</w:t>
      </w: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numPr>
          <w:ilvl w:val="0"/>
          <w:numId w:val="3"/>
        </w:numPr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收入支出决算总体情况说明</w:t>
      </w:r>
    </w:p>
    <w:p w:rsidR="000562DA" w:rsidRDefault="000562DA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年度预算收入为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400.56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万元，预算支出为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400.56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万元，其中：基本支出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319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年度预算安排较上年度增加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102.96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25.7%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，主要原因是财政拨款收入增加，财政拨款收入增加主要是人员工资增加和养老金、职业年金增加，</w:t>
      </w:r>
    </w:p>
    <w:p w:rsidR="000562DA" w:rsidRDefault="000562DA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收入决算情况说明</w:t>
      </w:r>
    </w:p>
    <w:p w:rsidR="000562DA" w:rsidRDefault="000562DA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327.29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400.56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万元，减少了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83.03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万元，减少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，主要原因是财政拨款收入减少，财政拨款收入减少养老金、职业年金未支。</w:t>
      </w:r>
    </w:p>
    <w:p w:rsidR="000562DA" w:rsidRDefault="00C74943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327.29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297.65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29.64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，主要原因是财政拨款收入增加，财政拨款收入增加主要是人员工资增加和养老金、职业年金增加，</w:t>
      </w:r>
    </w:p>
    <w:p w:rsidR="000562DA" w:rsidRDefault="000562DA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支出决算情况说明</w:t>
      </w:r>
    </w:p>
    <w:p w:rsidR="000562DA" w:rsidRDefault="000562DA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327.29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400.56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万元，减少了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83.03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万元，减少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，主要原因是财政拨款收入减少，财政拨款收入减少养老金、职业年金未支。</w:t>
      </w:r>
    </w:p>
    <w:p w:rsidR="000562DA" w:rsidRDefault="00C74943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年度财政拨款支出决算为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327.29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年度财政拨款支出决算为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7.65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29.64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，主要是人员经费增加。主要原因是财政拨款收入增加，财政拨款收入增加主要是人员工资增加和养老金、职业年金增加，</w:t>
      </w:r>
    </w:p>
    <w:p w:rsidR="000562DA" w:rsidRDefault="00C74943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年年初预算支出为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400.56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万元，其中：基本支出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392.35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</w:t>
      </w:r>
    </w:p>
    <w:p w:rsidR="000562DA" w:rsidRDefault="00C74943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年度总支出决算为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327.29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万元，支出决算按照功能分类情况：工资福利支出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;218.47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万元，对个人家庭补助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100.6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万元，日常公用经费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8.2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</w:t>
      </w:r>
    </w:p>
    <w:p w:rsidR="000562DA" w:rsidRDefault="00C74943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财政拨款收入支出总体情况说明</w:t>
      </w:r>
    </w:p>
    <w:p w:rsidR="000562DA" w:rsidRDefault="00C74943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（一）收入支出预算安排情况</w:t>
      </w:r>
    </w:p>
    <w:p w:rsidR="000562DA" w:rsidRDefault="00C74943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年度财政拨款收入预算安排为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400.56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万元，财政拨款预算支出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400.56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万元，其中：工资福利支出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;392.35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万元，日常公用经费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</w:p>
    <w:p w:rsidR="000562DA" w:rsidRDefault="000562DA">
      <w:pPr>
        <w:widowControl/>
        <w:adjustRightInd w:val="0"/>
        <w:snapToGrid w:val="0"/>
        <w:ind w:firstLine="64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numPr>
          <w:ilvl w:val="0"/>
          <w:numId w:val="4"/>
        </w:numPr>
        <w:adjustRightInd w:val="0"/>
        <w:snapToGrid w:val="0"/>
        <w:ind w:firstLine="64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收入支出预算执行情况</w:t>
      </w:r>
    </w:p>
    <w:p w:rsidR="000562DA" w:rsidRDefault="00C74943">
      <w:pPr>
        <w:widowControl/>
        <w:adjustRightInd w:val="0"/>
        <w:snapToGrid w:val="0"/>
        <w:ind w:firstLine="64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、收入支出与预算对比分析</w:t>
      </w:r>
    </w:p>
    <w:p w:rsidR="000562DA" w:rsidRDefault="00C74943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327.29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400.56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万元，减少了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83.03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万元，减少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327.29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297.65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29.64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0562DA" w:rsidRDefault="00C74943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年度总支出决算为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327.29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万元，支出决算按照功能分类情况：工资福利支出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;218.47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万元，对个人家庭补助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100.6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元，日常公用经费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8.2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</w:t>
      </w:r>
    </w:p>
    <w:p w:rsidR="000562DA" w:rsidRDefault="00C74943">
      <w:pPr>
        <w:widowControl/>
        <w:numPr>
          <w:ilvl w:val="0"/>
          <w:numId w:val="5"/>
        </w:numPr>
        <w:adjustRightInd w:val="0"/>
        <w:snapToGrid w:val="0"/>
        <w:ind w:firstLine="64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收入支出结构分析</w:t>
      </w:r>
    </w:p>
    <w:p w:rsidR="000562DA" w:rsidRDefault="00C74943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年度决算总收入为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327.29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万元，其中：一般公共预算收入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327.29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年决算人员经费是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392.3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年决算人员经费是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289.05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103.25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万元，主要原因是养老金增加。</w:t>
      </w:r>
    </w:p>
    <w:p w:rsidR="000562DA" w:rsidRDefault="00C74943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年决算收入日常公用经费是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8.2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年决算日常公用经费是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7.8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0.4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万元，主要原因是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年经费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未按时支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0.6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万元。</w:t>
      </w:r>
    </w:p>
    <w:p w:rsidR="000562DA" w:rsidRDefault="000562DA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“三公”经费支出决算情况</w:t>
      </w:r>
    </w:p>
    <w:p w:rsidR="000562DA" w:rsidRDefault="000562DA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numPr>
          <w:ilvl w:val="0"/>
          <w:numId w:val="7"/>
        </w:numPr>
        <w:adjustRightInd w:val="0"/>
        <w:snapToGrid w:val="0"/>
        <w:ind w:firstLine="64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“三公”经费与上年度对比分析</w:t>
      </w:r>
    </w:p>
    <w:p w:rsidR="000562DA" w:rsidRDefault="000562DA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金额单位：万元</w:t>
      </w:r>
    </w:p>
    <w:tbl>
      <w:tblPr>
        <w:tblStyle w:val="a5"/>
        <w:tblpPr w:leftFromText="180" w:rightFromText="180" w:vertAnchor="text" w:horzAnchor="page" w:tblpX="1987" w:tblpY="318"/>
        <w:tblOverlap w:val="never"/>
        <w:tblW w:w="8522" w:type="dxa"/>
        <w:tblLayout w:type="fixed"/>
        <w:tblLook w:val="04A0"/>
      </w:tblPr>
      <w:tblGrid>
        <w:gridCol w:w="3191"/>
        <w:gridCol w:w="1288"/>
        <w:gridCol w:w="1455"/>
        <w:gridCol w:w="1335"/>
        <w:gridCol w:w="1253"/>
      </w:tblGrid>
      <w:tr w:rsidR="000562DA">
        <w:tc>
          <w:tcPr>
            <w:tcW w:w="3191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128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2016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年</w:t>
            </w:r>
          </w:p>
        </w:tc>
        <w:tc>
          <w:tcPr>
            <w:tcW w:w="1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2017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年</w:t>
            </w:r>
          </w:p>
        </w:tc>
        <w:tc>
          <w:tcPr>
            <w:tcW w:w="133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增减幅</w:t>
            </w:r>
          </w:p>
        </w:tc>
      </w:tr>
      <w:tr w:rsidR="000562DA">
        <w:tc>
          <w:tcPr>
            <w:tcW w:w="3191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因公出国（境）费</w:t>
            </w:r>
          </w:p>
        </w:tc>
        <w:tc>
          <w:tcPr>
            <w:tcW w:w="128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0562DA">
        <w:tc>
          <w:tcPr>
            <w:tcW w:w="3191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公务用车运行维护费</w:t>
            </w:r>
          </w:p>
        </w:tc>
        <w:tc>
          <w:tcPr>
            <w:tcW w:w="128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0562DA">
        <w:tc>
          <w:tcPr>
            <w:tcW w:w="3191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其中：公务用车购置费</w:t>
            </w:r>
          </w:p>
        </w:tc>
        <w:tc>
          <w:tcPr>
            <w:tcW w:w="128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0562DA">
        <w:tc>
          <w:tcPr>
            <w:tcW w:w="3191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公务用车运行维护费</w:t>
            </w:r>
          </w:p>
        </w:tc>
        <w:tc>
          <w:tcPr>
            <w:tcW w:w="128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0562DA">
        <w:tc>
          <w:tcPr>
            <w:tcW w:w="3191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公务接待费</w:t>
            </w:r>
          </w:p>
        </w:tc>
        <w:tc>
          <w:tcPr>
            <w:tcW w:w="128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3.4</w:t>
            </w:r>
          </w:p>
        </w:tc>
        <w:tc>
          <w:tcPr>
            <w:tcW w:w="1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33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-0.4</w:t>
            </w:r>
          </w:p>
        </w:tc>
        <w:tc>
          <w:tcPr>
            <w:tcW w:w="1253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-13%</w:t>
            </w:r>
          </w:p>
        </w:tc>
      </w:tr>
      <w:tr w:rsidR="000562DA">
        <w:tc>
          <w:tcPr>
            <w:tcW w:w="3191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128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3.4</w:t>
            </w:r>
          </w:p>
        </w:tc>
        <w:tc>
          <w:tcPr>
            <w:tcW w:w="1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33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-0.4</w:t>
            </w:r>
          </w:p>
        </w:tc>
        <w:tc>
          <w:tcPr>
            <w:tcW w:w="1253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-13%</w:t>
            </w:r>
          </w:p>
        </w:tc>
      </w:tr>
    </w:tbl>
    <w:p w:rsidR="000562DA" w:rsidRDefault="000562DA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根据工作需要，公务接待费略有减少；严格执行公务接待制度，加强日常管理，节约开支。</w:t>
      </w:r>
    </w:p>
    <w:p w:rsidR="000562DA" w:rsidRDefault="00C74943">
      <w:pPr>
        <w:widowControl/>
        <w:numPr>
          <w:ilvl w:val="0"/>
          <w:numId w:val="7"/>
        </w:numPr>
        <w:adjustRightInd w:val="0"/>
        <w:snapToGrid w:val="0"/>
        <w:ind w:firstLine="640"/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“三公”经费支出预决算分析</w:t>
      </w:r>
    </w:p>
    <w:p w:rsidR="000562DA" w:rsidRDefault="000562DA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金额单位：万元</w:t>
      </w:r>
    </w:p>
    <w:tbl>
      <w:tblPr>
        <w:tblStyle w:val="a5"/>
        <w:tblW w:w="8046" w:type="dxa"/>
        <w:jc w:val="center"/>
        <w:tblLayout w:type="fixed"/>
        <w:tblLook w:val="04A0"/>
      </w:tblPr>
      <w:tblGrid>
        <w:gridCol w:w="3455"/>
        <w:gridCol w:w="915"/>
        <w:gridCol w:w="1048"/>
        <w:gridCol w:w="1219"/>
        <w:gridCol w:w="1409"/>
      </w:tblGrid>
      <w:tr w:rsidR="000562DA">
        <w:trPr>
          <w:trHeight w:val="803"/>
          <w:jc w:val="center"/>
        </w:trPr>
        <w:tc>
          <w:tcPr>
            <w:tcW w:w="3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91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预算</w:t>
            </w:r>
          </w:p>
        </w:tc>
        <w:tc>
          <w:tcPr>
            <w:tcW w:w="104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决算</w:t>
            </w:r>
          </w:p>
        </w:tc>
        <w:tc>
          <w:tcPr>
            <w:tcW w:w="121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增减额</w:t>
            </w:r>
          </w:p>
        </w:tc>
        <w:tc>
          <w:tcPr>
            <w:tcW w:w="140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增减幅</w:t>
            </w:r>
          </w:p>
        </w:tc>
      </w:tr>
      <w:tr w:rsidR="000562DA">
        <w:trPr>
          <w:trHeight w:val="406"/>
          <w:jc w:val="center"/>
        </w:trPr>
        <w:tc>
          <w:tcPr>
            <w:tcW w:w="3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因公出国（境）费</w:t>
            </w:r>
          </w:p>
        </w:tc>
        <w:tc>
          <w:tcPr>
            <w:tcW w:w="91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04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21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40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0562DA">
        <w:trPr>
          <w:trHeight w:val="535"/>
          <w:jc w:val="center"/>
        </w:trPr>
        <w:tc>
          <w:tcPr>
            <w:tcW w:w="3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公务用车运行维护费</w:t>
            </w:r>
          </w:p>
        </w:tc>
        <w:tc>
          <w:tcPr>
            <w:tcW w:w="91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04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21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40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0562DA">
        <w:trPr>
          <w:trHeight w:val="628"/>
          <w:jc w:val="center"/>
        </w:trPr>
        <w:tc>
          <w:tcPr>
            <w:tcW w:w="3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其中：公务用车购置费</w:t>
            </w:r>
          </w:p>
        </w:tc>
        <w:tc>
          <w:tcPr>
            <w:tcW w:w="91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04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21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40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0562DA">
        <w:trPr>
          <w:trHeight w:val="568"/>
          <w:jc w:val="center"/>
        </w:trPr>
        <w:tc>
          <w:tcPr>
            <w:tcW w:w="3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公务用车运行维护费</w:t>
            </w:r>
          </w:p>
        </w:tc>
        <w:tc>
          <w:tcPr>
            <w:tcW w:w="91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04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21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40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0562DA">
        <w:trPr>
          <w:trHeight w:val="610"/>
          <w:jc w:val="center"/>
        </w:trPr>
        <w:tc>
          <w:tcPr>
            <w:tcW w:w="3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公务接待费</w:t>
            </w:r>
          </w:p>
        </w:tc>
        <w:tc>
          <w:tcPr>
            <w:tcW w:w="91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3.4</w:t>
            </w:r>
          </w:p>
        </w:tc>
        <w:tc>
          <w:tcPr>
            <w:tcW w:w="104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21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-0.4</w:t>
            </w:r>
          </w:p>
        </w:tc>
        <w:tc>
          <w:tcPr>
            <w:tcW w:w="140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-13%</w:t>
            </w:r>
          </w:p>
        </w:tc>
      </w:tr>
      <w:tr w:rsidR="000562DA">
        <w:trPr>
          <w:trHeight w:val="416"/>
          <w:jc w:val="center"/>
        </w:trPr>
        <w:tc>
          <w:tcPr>
            <w:tcW w:w="345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915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3.4</w:t>
            </w:r>
          </w:p>
        </w:tc>
        <w:tc>
          <w:tcPr>
            <w:tcW w:w="1048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21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-0.4</w:t>
            </w:r>
          </w:p>
        </w:tc>
        <w:tc>
          <w:tcPr>
            <w:tcW w:w="1409" w:type="dxa"/>
            <w:vAlign w:val="center"/>
          </w:tcPr>
          <w:p w:rsidR="000562DA" w:rsidRDefault="00C74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-13%</w:t>
            </w:r>
          </w:p>
        </w:tc>
      </w:tr>
    </w:tbl>
    <w:p w:rsidR="000562DA" w:rsidRDefault="00C74943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公务用车保有量为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辆。</w:t>
      </w:r>
    </w:p>
    <w:p w:rsidR="000562DA" w:rsidRDefault="00C74943">
      <w:pPr>
        <w:pStyle w:val="a3"/>
        <w:widowControl/>
        <w:numPr>
          <w:ilvl w:val="0"/>
          <w:numId w:val="8"/>
        </w:numPr>
        <w:shd w:val="clear" w:color="auto" w:fill="FFFFFF"/>
        <w:spacing w:before="315" w:beforeAutospacing="0" w:after="315" w:afterAutospacing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预算绩效管理工作开展情况说明</w:t>
      </w:r>
    </w:p>
    <w:p w:rsidR="000562DA" w:rsidRDefault="00C74943" w:rsidP="00B67492">
      <w:pPr>
        <w:pStyle w:val="a3"/>
        <w:widowControl/>
        <w:shd w:val="clear" w:color="auto" w:fill="FFFFFF"/>
        <w:spacing w:before="315" w:beforeAutospacing="0" w:after="315" w:afterAutospacing="0"/>
        <w:ind w:firstLineChars="200" w:firstLine="632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/>
          <w:spacing w:val="-2"/>
          <w:sz w:val="32"/>
          <w:szCs w:val="32"/>
        </w:rPr>
        <w:t>绩效</w:t>
      </w:r>
      <w:r>
        <w:rPr>
          <w:rFonts w:ascii="仿宋_GB2312" w:eastAsia="仿宋_GB2312" w:hAnsi="仿宋_GB2312" w:cs="仿宋_GB2312"/>
          <w:sz w:val="32"/>
          <w:szCs w:val="32"/>
        </w:rPr>
        <w:t>评价结果</w:t>
      </w:r>
      <w:r>
        <w:rPr>
          <w:rFonts w:ascii="仿宋_GB2312" w:eastAsia="仿宋_GB2312" w:hAnsi="仿宋_GB2312" w:cs="仿宋_GB2312"/>
          <w:spacing w:val="-4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/>
          <w:sz w:val="32"/>
          <w:szCs w:val="32"/>
        </w:rPr>
        <w:t>预算符合相关管理规定</w:t>
      </w:r>
      <w:r>
        <w:rPr>
          <w:rFonts w:ascii="仿宋_GB2312" w:eastAsia="仿宋_GB2312" w:hAnsi="仿宋_GB2312" w:cs="仿宋_GB2312"/>
          <w:spacing w:val="-40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绩效目标合理，绩效指标清晰，表述准确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财</w:t>
      </w:r>
      <w:r>
        <w:rPr>
          <w:rFonts w:ascii="仿宋_GB2312" w:eastAsia="仿宋_GB2312" w:hAnsi="仿宋_GB2312" w:cs="仿宋_GB2312"/>
          <w:sz w:val="32"/>
          <w:szCs w:val="32"/>
        </w:rPr>
        <w:t>务管理制度较健全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业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务监控有效性较好；财务管理制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度</w:t>
      </w:r>
      <w:r>
        <w:rPr>
          <w:rFonts w:ascii="仿宋_GB2312" w:eastAsia="仿宋_GB2312" w:hAnsi="仿宋_GB2312" w:cs="仿宋_GB2312"/>
          <w:sz w:val="32"/>
          <w:szCs w:val="32"/>
        </w:rPr>
        <w:t>规范，并建立了相应的财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务</w:t>
      </w:r>
      <w:r>
        <w:rPr>
          <w:rFonts w:ascii="仿宋_GB2312" w:eastAsia="仿宋_GB2312" w:hAnsi="仿宋_GB2312" w:cs="仿宋_GB2312"/>
          <w:sz w:val="32"/>
          <w:szCs w:val="32"/>
        </w:rPr>
        <w:t>审核及监控措施和手段，内部控制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严</w:t>
      </w:r>
      <w:r>
        <w:rPr>
          <w:rFonts w:ascii="仿宋_GB2312" w:eastAsia="仿宋_GB2312" w:hAnsi="仿宋_GB2312" w:cs="仿宋_GB2312"/>
          <w:sz w:val="32"/>
          <w:szCs w:val="32"/>
        </w:rPr>
        <w:t>格有效；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加强盐业市场管理，监督检查盐业市场食品安全，让人民吃上放心盐；烟花炮竹市场管理，严格执行审批，定期检查烟花炮竹安全，较</w:t>
      </w:r>
      <w:r>
        <w:rPr>
          <w:rFonts w:ascii="仿宋_GB2312" w:eastAsia="仿宋_GB2312" w:hAnsi="仿宋_GB2312" w:cs="仿宋_GB2312" w:hint="eastAsia"/>
          <w:sz w:val="32"/>
          <w:szCs w:val="32"/>
        </w:rPr>
        <w:t>好地完成上级社和市政府交办的各项任务。为农业增产农民增收创造了良好环境。</w:t>
      </w:r>
    </w:p>
    <w:p w:rsidR="000562DA" w:rsidRDefault="000562D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0562DA" w:rsidRDefault="00C74943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0562DA" w:rsidRDefault="00C74943">
      <w:pPr>
        <w:widowControl/>
        <w:adjustRightInd w:val="0"/>
        <w:snapToGrid w:val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机关运行经费</w:t>
      </w:r>
      <w:r>
        <w:rPr>
          <w:rFonts w:ascii="仿宋" w:eastAsia="仿宋" w:hAnsi="仿宋" w:cs="仿宋" w:hint="eastAsia"/>
          <w:sz w:val="32"/>
          <w:szCs w:val="32"/>
        </w:rPr>
        <w:t>情况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562DA" w:rsidRDefault="00C74943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机关运行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经费是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8.2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机关运行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经费是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7.8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0.4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万元，主要原因是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年经费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未按时支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0.6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万元。</w:t>
      </w:r>
    </w:p>
    <w:p w:rsidR="000562DA" w:rsidRDefault="00C74943">
      <w:pPr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会议费支出情况：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年会议费支出为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年会议费支出为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万元，比上年减少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万元，减幅</w:t>
      </w:r>
      <w:r>
        <w:rPr>
          <w:rFonts w:ascii="仿宋" w:eastAsia="仿宋" w:hAnsi="仿宋" w:cs="仿宋" w:hint="eastAsia"/>
          <w:sz w:val="32"/>
          <w:szCs w:val="32"/>
        </w:rPr>
        <w:t>0%</w:t>
      </w:r>
      <w:r>
        <w:rPr>
          <w:rFonts w:ascii="仿宋" w:eastAsia="仿宋" w:hAnsi="仿宋" w:cs="仿宋" w:hint="eastAsia"/>
          <w:sz w:val="32"/>
          <w:szCs w:val="32"/>
        </w:rPr>
        <w:t>，严格执行会议费支出有关规定，控制数量和规模，厉行节约，减少开支。</w:t>
      </w:r>
    </w:p>
    <w:p w:rsidR="000562DA" w:rsidRDefault="00C74943">
      <w:pPr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培训费支出情况：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年培训费支出为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年培训费支出为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万元，比上年减少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万元，减幅</w:t>
      </w:r>
      <w:r>
        <w:rPr>
          <w:rFonts w:ascii="仿宋" w:eastAsia="仿宋" w:hAnsi="仿宋" w:cs="仿宋" w:hint="eastAsia"/>
          <w:sz w:val="32"/>
          <w:szCs w:val="32"/>
        </w:rPr>
        <w:t>0%</w:t>
      </w:r>
    </w:p>
    <w:p w:rsidR="000562DA" w:rsidRDefault="00C74943">
      <w:pPr>
        <w:widowControl/>
        <w:numPr>
          <w:ilvl w:val="0"/>
          <w:numId w:val="9"/>
        </w:num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政府采购情况</w:t>
      </w:r>
    </w:p>
    <w:p w:rsidR="000562DA" w:rsidRDefault="00C74943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2017</w:t>
      </w:r>
      <w:r>
        <w:rPr>
          <w:rFonts w:ascii="仿宋" w:eastAsia="仿宋" w:hAnsi="仿宋" w:cs="仿宋" w:hint="eastAsia"/>
          <w:kern w:val="0"/>
          <w:sz w:val="32"/>
          <w:szCs w:val="32"/>
        </w:rPr>
        <w:t>年部门政府采购支出总额为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万元，无政</w:t>
      </w:r>
      <w:r>
        <w:rPr>
          <w:rFonts w:eastAsia="仿宋_GB2312" w:hAnsi="宋体" w:cs="宋体" w:hint="eastAsia"/>
          <w:kern w:val="0"/>
          <w:sz w:val="32"/>
          <w:szCs w:val="32"/>
        </w:rPr>
        <w:t>府采购预</w:t>
      </w:r>
      <w:r>
        <w:rPr>
          <w:rFonts w:ascii="仿宋" w:eastAsia="仿宋" w:hAnsi="仿宋" w:cs="仿宋" w:hint="eastAsia"/>
          <w:kern w:val="0"/>
          <w:sz w:val="32"/>
          <w:szCs w:val="32"/>
        </w:rPr>
        <w:t>算支出。</w:t>
      </w:r>
    </w:p>
    <w:p w:rsidR="000562DA" w:rsidRDefault="00C74943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国有资产占用情况</w:t>
      </w:r>
    </w:p>
    <w:p w:rsidR="000562DA" w:rsidRDefault="00C74943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截止</w:t>
      </w:r>
      <w:r>
        <w:rPr>
          <w:rFonts w:ascii="仿宋" w:eastAsia="仿宋" w:hAnsi="仿宋" w:cs="仿宋" w:hint="eastAsia"/>
          <w:kern w:val="0"/>
          <w:sz w:val="32"/>
          <w:szCs w:val="32"/>
        </w:rPr>
        <w:t>2017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kern w:val="0"/>
          <w:sz w:val="32"/>
          <w:szCs w:val="32"/>
        </w:rPr>
        <w:t>日，本部门共有车辆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辆。</w:t>
      </w:r>
    </w:p>
    <w:p w:rsidR="000562DA" w:rsidRDefault="00C74943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2017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年初资产总值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万元，年末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万元。房屋建筑物统一归属市直机关管理中心。</w:t>
      </w:r>
    </w:p>
    <w:p w:rsidR="000562DA" w:rsidRDefault="00C74943">
      <w:pPr>
        <w:widowControl/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资产负债结构情况：</w:t>
      </w:r>
      <w:r>
        <w:rPr>
          <w:rFonts w:ascii="仿宋" w:eastAsia="仿宋" w:hAnsi="仿宋" w:cs="仿宋" w:hint="eastAsia"/>
          <w:kern w:val="0"/>
          <w:sz w:val="32"/>
          <w:szCs w:val="32"/>
        </w:rPr>
        <w:t>2017</w:t>
      </w:r>
      <w:r>
        <w:rPr>
          <w:rFonts w:ascii="仿宋" w:eastAsia="仿宋" w:hAnsi="仿宋" w:cs="仿宋" w:hint="eastAsia"/>
          <w:kern w:val="0"/>
          <w:sz w:val="32"/>
          <w:szCs w:val="32"/>
        </w:rPr>
        <w:t>年，南宫市供销合作社联合社总资产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万元，总负债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万元，资产负债率</w:t>
      </w:r>
      <w:r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，较上年度相比无变化。</w:t>
      </w:r>
    </w:p>
    <w:p w:rsidR="000562DA" w:rsidRDefault="00C74943">
      <w:pPr>
        <w:widowControl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四、其他需要说明的问题</w:t>
      </w:r>
    </w:p>
    <w:p w:rsidR="000562DA" w:rsidRDefault="00C74943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我部门不涉及《政府性基金预算财政拨款收入支出决算表》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和《国有资本经营预算财政拨款收入支出决算表》、《政府性基金预算财政拨款收入支出决算表》、《政府采购情况表》因此均为空表。</w:t>
      </w:r>
    </w:p>
    <w:p w:rsidR="000562DA" w:rsidRDefault="00C74943">
      <w:pPr>
        <w:adjustRightInd w:val="0"/>
        <w:snapToGrid w:val="0"/>
        <w:spacing w:line="6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第四部分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名词解释</w:t>
      </w:r>
    </w:p>
    <w:p w:rsidR="000562DA" w:rsidRDefault="000562DA">
      <w:pPr>
        <w:adjustRightInd w:val="0"/>
        <w:snapToGrid w:val="0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0562DA" w:rsidRDefault="00C74943">
      <w:pPr>
        <w:numPr>
          <w:ilvl w:val="0"/>
          <w:numId w:val="10"/>
        </w:num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财政拨款收入：本年度从本级财政部门取得的财政拨款，包括一般公共预算财政拨款和政</w:t>
      </w:r>
      <w:r>
        <w:rPr>
          <w:rFonts w:ascii="仿宋" w:eastAsia="仿宋" w:hAnsi="仿宋" w:cs="仿宋" w:hint="eastAsia"/>
          <w:sz w:val="32"/>
          <w:szCs w:val="32"/>
        </w:rPr>
        <w:t>府性基金预算财政拨款。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0562DA" w:rsidRDefault="00C74943">
      <w:pPr>
        <w:numPr>
          <w:ilvl w:val="0"/>
          <w:numId w:val="10"/>
        </w:num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事业收入：指事业单位开展专业业务活动及辅助活动所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取得的收入。</w:t>
      </w:r>
    </w:p>
    <w:p w:rsidR="000562DA" w:rsidRDefault="00C74943">
      <w:pPr>
        <w:numPr>
          <w:ilvl w:val="0"/>
          <w:numId w:val="10"/>
        </w:num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其他收入：指除上述“财政拨款收入”、“事业收入”、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“经营收入”等以外的收入。</w:t>
      </w:r>
    </w:p>
    <w:p w:rsidR="000562DA" w:rsidRDefault="00C74943">
      <w:pPr>
        <w:numPr>
          <w:ilvl w:val="0"/>
          <w:numId w:val="10"/>
        </w:num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用事业基金弥补收支差额：指事业单位在用当年的“财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政拨款收入”、“财政拨款结转和结余资金”、“事业收入”、“经营收入”、“其他收入”不足以安排当年支出的情况下，使用以前年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度积累的事业基金（事业单位当年收支相抵后按国家规定提取、用于弥补以后年度收支差额的基金）弥补本年度收支缺口的资金。</w:t>
      </w:r>
    </w:p>
    <w:p w:rsidR="000562DA" w:rsidRDefault="00C74943">
      <w:pPr>
        <w:numPr>
          <w:ilvl w:val="0"/>
          <w:numId w:val="10"/>
        </w:num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年初结转和结余：指以前年度尚未完成、结转到本年仍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按原规定用途继续使用的资金，或项目已完成等产生的结余资金。</w:t>
      </w:r>
    </w:p>
    <w:p w:rsidR="000562DA" w:rsidRDefault="00C74943">
      <w:pPr>
        <w:numPr>
          <w:ilvl w:val="0"/>
          <w:numId w:val="10"/>
        </w:num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结余分配：指事业单位按照事业单位会计制度的规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定从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非财政补助结余中分配的事业基金和职工福利基金等。</w:t>
      </w:r>
    </w:p>
    <w:p w:rsidR="000562DA" w:rsidRDefault="00C74943">
      <w:pPr>
        <w:numPr>
          <w:ilvl w:val="0"/>
          <w:numId w:val="10"/>
        </w:num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年末结转和结余：指单位按有关规定结转到下年或以后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年度继续使用的资金，或项目已完成等产生的结余资金。</w:t>
      </w:r>
    </w:p>
    <w:p w:rsidR="000562DA" w:rsidRDefault="00C74943">
      <w:p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八、基本支出：填列单位为保障机构正常运转、完成日常工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作任务而发生的各项支出。</w:t>
      </w:r>
    </w:p>
    <w:p w:rsidR="000562DA" w:rsidRDefault="00C74943">
      <w:p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九、项目支出：填列单位为完成特定的行政工作任务或事业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发展目标，在基本支出之外发生的各项支出。</w:t>
      </w:r>
    </w:p>
    <w:p w:rsidR="000562DA" w:rsidRDefault="00C74943">
      <w:p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十、基本建设支出：填列由本级发展与改革部门集中安排的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用于购置固定资产、战</w:t>
      </w:r>
      <w:r>
        <w:rPr>
          <w:rFonts w:ascii="仿宋" w:eastAsia="仿宋" w:hAnsi="仿宋" w:cs="仿宋" w:hint="eastAsia"/>
          <w:sz w:val="32"/>
          <w:szCs w:val="32"/>
        </w:rPr>
        <w:t>略性和应急性储备、土地和无形资产，以及购建基础设施、大型修缮所发生的一般公共预算财政拨款支出，不包括政府性基金、财政专户管理资金以及各类拼盘自筹资金等。</w:t>
      </w:r>
    </w:p>
    <w:p w:rsidR="000562DA" w:rsidRDefault="00C74943">
      <w:p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十一、其他资本性支出：填列由各级非发展与改革部门集中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安排的用于购置固定资产、战备性和应急性储备、土地和无形资产，以及购建基础设施、大型修缮和财政支持企业更新改造所发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生的支出。</w:t>
      </w:r>
    </w:p>
    <w:p w:rsidR="000562DA" w:rsidRDefault="00C74943">
      <w:p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十二、“三公”经费：指部门用财政拨款安排的因公出国（境）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费、公务用车购置及运行费和公务接待费。其中，因公出国（境）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费反映单位公务出国（境）的国际旅费、国外城市间交通费、住宿费</w:t>
      </w:r>
      <w:r>
        <w:rPr>
          <w:rFonts w:ascii="仿宋" w:eastAsia="仿宋" w:hAnsi="仿宋" w:cs="仿宋" w:hint="eastAsia"/>
          <w:sz w:val="32"/>
          <w:szCs w:val="32"/>
        </w:rPr>
        <w:t>、伙食费、培训费、公杂费等支出；公务用车购置及运行费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反映单位公务用车购置支出（含车辆购置税）及租用费、燃料费、维修费、过路过桥费、保险费、安全奖励费用等支出；公务接待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费反映单位按规定开支的各类公务接待（含外宾接待）支出。</w:t>
      </w:r>
    </w:p>
    <w:p w:rsidR="000562DA" w:rsidRDefault="00C74943">
      <w:p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十三、其他交通费用：填列单位除公务用车运行维护费以外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的其他交通费用。如飞机、船舶等的燃料费、维修费、过桥过路</w:t>
      </w:r>
      <w:r>
        <w:rPr>
          <w:rFonts w:ascii="仿宋" w:eastAsia="仿宋" w:hAnsi="仿宋" w:cs="仿宋" w:hint="eastAsia"/>
          <w:sz w:val="32"/>
          <w:szCs w:val="32"/>
        </w:rPr>
        <w:t xml:space="preserve"> 38 </w:t>
      </w:r>
      <w:r>
        <w:rPr>
          <w:rFonts w:ascii="仿宋" w:eastAsia="仿宋" w:hAnsi="仿宋" w:cs="仿宋" w:hint="eastAsia"/>
          <w:sz w:val="32"/>
          <w:szCs w:val="32"/>
        </w:rPr>
        <w:t>费、保险费、出租车费用、公务交通补贴等。</w:t>
      </w:r>
    </w:p>
    <w:p w:rsidR="000562DA" w:rsidRDefault="00C74943">
      <w:p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十四、公务用车购置：填列单位公务用车车辆购置支出（含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车辆购置税）。</w:t>
      </w:r>
    </w:p>
    <w:p w:rsidR="000562DA" w:rsidRDefault="00C74943">
      <w:pPr>
        <w:adjustRightInd w:val="0"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十五、其他交通工具购置：填列单位除公务用车外的其他各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类</w:t>
      </w:r>
      <w:r>
        <w:rPr>
          <w:rFonts w:ascii="仿宋" w:eastAsia="仿宋" w:hAnsi="仿宋" w:cs="仿宋" w:hint="eastAsia"/>
          <w:sz w:val="32"/>
          <w:szCs w:val="32"/>
        </w:rPr>
        <w:t>交通工具（如船舶、飞机）购置支出（含车辆购置税）。</w:t>
      </w:r>
    </w:p>
    <w:p w:rsidR="000562DA" w:rsidRDefault="00C74943">
      <w:pPr>
        <w:adjustRightInd w:val="0"/>
        <w:snapToGrid w:val="0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十六、机关运行经费：指为保障行政单位（包括参照公务员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法管理的事业单位）运行用于购买货物和服务的各项资金，包括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0562DA" w:rsidRDefault="000562DA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0562DA" w:rsidSect="00056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5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</w:lvl>
  </w:abstractNum>
  <w:abstractNum w:abstractNumId="6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</w:lvl>
  </w:abstractNum>
  <w:abstractNum w:abstractNumId="8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C8701A4"/>
    <w:multiLevelType w:val="singleLevel"/>
    <w:tmpl w:val="5C8701A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62DA"/>
    <w:rsid w:val="000A552D"/>
    <w:rsid w:val="00172A27"/>
    <w:rsid w:val="003B71D1"/>
    <w:rsid w:val="00B67492"/>
    <w:rsid w:val="00C74943"/>
    <w:rsid w:val="02B67A35"/>
    <w:rsid w:val="2436189F"/>
    <w:rsid w:val="2EEA4FAC"/>
    <w:rsid w:val="354151C3"/>
    <w:rsid w:val="37A123A3"/>
    <w:rsid w:val="393F06B1"/>
    <w:rsid w:val="4A6777EE"/>
    <w:rsid w:val="59186472"/>
    <w:rsid w:val="5B2F28F3"/>
    <w:rsid w:val="7697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562D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562DA"/>
    <w:rPr>
      <w:b/>
    </w:rPr>
  </w:style>
  <w:style w:type="table" w:styleId="a5">
    <w:name w:val="Table Grid"/>
    <w:basedOn w:val="a1"/>
    <w:qFormat/>
    <w:rsid w:val="000562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_2007___1.package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caiwuke</dc:creator>
  <cp:lastModifiedBy>Administrator</cp:lastModifiedBy>
  <cp:revision>3</cp:revision>
  <cp:lastPrinted>2018-10-25T06:54:00Z</cp:lastPrinted>
  <dcterms:created xsi:type="dcterms:W3CDTF">2018-10-24T02:04:00Z</dcterms:created>
  <dcterms:modified xsi:type="dcterms:W3CDTF">2018-10-29T07:31:00Z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