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B8" w:rsidRPr="008A1CF2" w:rsidRDefault="002545B8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CE53DA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sz w:val="72"/>
          <w:szCs w:val="72"/>
          <w:lang w:eastAsia="zh-CN"/>
        </w:rPr>
      </w:pPr>
      <w:r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2017</w:t>
      </w:r>
      <w:r>
        <w:rPr>
          <w:rFonts w:ascii="微软雅黑" w:eastAsia="微软雅黑" w:hAnsi="微软雅黑" w:cs="微软雅黑"/>
          <w:spacing w:val="-1"/>
          <w:w w:val="85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年度部门决算</w:t>
      </w:r>
    </w:p>
    <w:p w:rsidR="002545B8" w:rsidRDefault="002545B8">
      <w:pPr>
        <w:spacing w:before="7" w:after="0" w:line="140" w:lineRule="exact"/>
        <w:rPr>
          <w:sz w:val="14"/>
          <w:szCs w:val="14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CE53DA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南宫市大高村镇中心卫生院</w:t>
      </w:r>
    </w:p>
    <w:p w:rsidR="002545B8" w:rsidRDefault="002545B8">
      <w:pPr>
        <w:spacing w:before="4" w:after="0" w:line="150" w:lineRule="exact"/>
        <w:rPr>
          <w:sz w:val="30"/>
          <w:szCs w:val="3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8E25CD" w:rsidP="008E25CD">
      <w:pPr>
        <w:tabs>
          <w:tab w:val="left" w:pos="3660"/>
        </w:tabs>
        <w:spacing w:after="0" w:line="200" w:lineRule="exac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rFonts w:asciiTheme="minorEastAsia" w:eastAsiaTheme="minorEastAsia" w:hAnsiTheme="minorEastAsia" w:hint="eastAsia"/>
          <w:sz w:val="20"/>
          <w:szCs w:val="20"/>
          <w:lang w:eastAsia="zh-CN"/>
        </w:rPr>
        <w:t>修改版</w:t>
      </w: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  <w:bookmarkStart w:id="0" w:name="_GoBack"/>
      <w:bookmarkEnd w:id="0"/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695166" w:rsidP="00695166">
      <w:pPr>
        <w:spacing w:after="0" w:line="240" w:lineRule="auto"/>
        <w:ind w:right="1538"/>
        <w:jc w:val="center"/>
        <w:rPr>
          <w:sz w:val="15"/>
          <w:szCs w:val="15"/>
          <w:lang w:eastAsia="zh-CN"/>
        </w:rPr>
      </w:pPr>
      <w:r>
        <w:rPr>
          <w:rFonts w:ascii="楷体_GB2312" w:eastAsia="楷体_GB2312" w:hAnsi="楷体_GB2312" w:cs="楷体_GB2312" w:hint="eastAsia"/>
          <w:sz w:val="24"/>
          <w:szCs w:val="24"/>
          <w:lang w:eastAsia="zh-CN"/>
        </w:rPr>
        <w:t xml:space="preserve">           </w:t>
      </w:r>
      <w:r w:rsidR="00CE53DA">
        <w:rPr>
          <w:rFonts w:ascii="楷体_GB2312" w:eastAsia="楷体_GB2312" w:hAnsi="楷体_GB2312" w:cs="楷体_GB2312" w:hint="eastAsia"/>
          <w:sz w:val="24"/>
          <w:szCs w:val="24"/>
          <w:lang w:eastAsia="zh-CN"/>
        </w:rPr>
        <w:t>南宫市大高村镇中心卫生院</w:t>
      </w:r>
      <w:r w:rsidR="00CE53DA">
        <w:rPr>
          <w:rFonts w:ascii="楷体_GB2312" w:eastAsia="楷体_GB2312" w:hAnsi="楷体_GB2312" w:cs="楷体_GB2312"/>
          <w:sz w:val="24"/>
          <w:szCs w:val="24"/>
          <w:lang w:eastAsia="zh-CN"/>
        </w:rPr>
        <w:t>编制</w:t>
      </w:r>
    </w:p>
    <w:p w:rsidR="002545B8" w:rsidRDefault="002545B8">
      <w:pPr>
        <w:spacing w:after="0" w:line="240" w:lineRule="auto"/>
        <w:ind w:right="3369"/>
        <w:rPr>
          <w:rFonts w:ascii="楷体_GB2312" w:eastAsia="楷体_GB2312" w:hAnsi="楷体_GB2312" w:cs="楷体_GB2312"/>
          <w:sz w:val="28"/>
          <w:szCs w:val="28"/>
          <w:lang w:eastAsia="zh-CN"/>
        </w:rPr>
      </w:pPr>
    </w:p>
    <w:p w:rsidR="002545B8" w:rsidRDefault="00CE53DA">
      <w:pPr>
        <w:spacing w:after="0" w:line="240" w:lineRule="auto"/>
        <w:ind w:right="3369" w:firstLineChars="1000" w:firstLine="2800"/>
        <w:jc w:val="right"/>
        <w:rPr>
          <w:rFonts w:ascii="楷体_GB2312" w:eastAsia="楷体_GB2312" w:hAnsi="楷体_GB2312" w:cs="楷体_GB2312"/>
          <w:sz w:val="28"/>
          <w:szCs w:val="28"/>
          <w:lang w:eastAsia="zh-CN"/>
        </w:rPr>
      </w:pPr>
      <w:r>
        <w:rPr>
          <w:rFonts w:ascii="楷体_GB2312" w:eastAsia="楷体_GB2312" w:hAnsi="楷体_GB2312" w:cs="楷体_GB2312"/>
          <w:sz w:val="28"/>
          <w:szCs w:val="28"/>
          <w:lang w:eastAsia="zh-CN"/>
        </w:rPr>
        <w:t>201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8</w:t>
      </w:r>
      <w:r>
        <w:rPr>
          <w:rFonts w:ascii="楷体_GB2312" w:eastAsia="楷体_GB2312" w:hAnsi="楷体_GB2312" w:cs="楷体_GB2312"/>
          <w:sz w:val="28"/>
          <w:szCs w:val="28"/>
          <w:lang w:eastAsia="zh-CN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10</w:t>
      </w:r>
      <w:r>
        <w:rPr>
          <w:rFonts w:ascii="楷体_GB2312" w:eastAsia="楷体_GB2312" w:hAnsi="楷体_GB2312" w:cs="楷体_GB2312"/>
          <w:spacing w:val="-80"/>
          <w:sz w:val="28"/>
          <w:szCs w:val="28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28"/>
          <w:szCs w:val="28"/>
          <w:lang w:eastAsia="zh-CN"/>
        </w:rPr>
        <w:t>月</w:t>
      </w:r>
    </w:p>
    <w:p w:rsidR="002545B8" w:rsidRDefault="002545B8">
      <w:pPr>
        <w:spacing w:after="0" w:line="240" w:lineRule="auto"/>
        <w:jc w:val="right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2545B8">
          <w:pgSz w:w="11920" w:h="16840"/>
          <w:pgMar w:top="1580" w:right="1680" w:bottom="280" w:left="1680" w:header="720" w:footer="720" w:gutter="0"/>
          <w:cols w:space="720"/>
        </w:sectPr>
      </w:pPr>
    </w:p>
    <w:p w:rsidR="002545B8" w:rsidRDefault="002545B8">
      <w:pPr>
        <w:spacing w:before="9" w:after="0" w:line="150" w:lineRule="exact"/>
        <w:rPr>
          <w:sz w:val="15"/>
          <w:szCs w:val="15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CE53DA">
      <w:pPr>
        <w:tabs>
          <w:tab w:val="left" w:pos="4740"/>
        </w:tabs>
        <w:spacing w:after="0" w:line="528" w:lineRule="exact"/>
        <w:ind w:left="3879" w:right="3699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  <w:t>录</w:t>
      </w:r>
    </w:p>
    <w:p w:rsidR="002545B8" w:rsidRDefault="002545B8">
      <w:pPr>
        <w:spacing w:before="4" w:after="0" w:line="170" w:lineRule="exact"/>
        <w:rPr>
          <w:sz w:val="17"/>
          <w:szCs w:val="17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CE53DA">
      <w:pPr>
        <w:tabs>
          <w:tab w:val="left" w:pos="1700"/>
        </w:tabs>
        <w:spacing w:after="0" w:line="240" w:lineRule="auto"/>
        <w:ind w:left="1600" w:right="-20" w:hangingChars="500" w:hanging="160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第一部分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南宫市大高村镇中心卫生院</w:t>
      </w:r>
      <w:r>
        <w:rPr>
          <w:rFonts w:ascii="黑体" w:eastAsia="黑体" w:hAnsi="黑体" w:cs="黑体"/>
          <w:sz w:val="32"/>
          <w:szCs w:val="32"/>
          <w:lang w:eastAsia="zh-CN"/>
        </w:rPr>
        <w:t>概况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一、部门职责 </w:t>
      </w:r>
    </w:p>
    <w:p w:rsidR="002545B8" w:rsidRDefault="00CE53DA">
      <w:pPr>
        <w:adjustRightInd w:val="0"/>
        <w:spacing w:after="0" w:line="319" w:lineRule="auto"/>
        <w:ind w:firstLineChars="250" w:firstLine="8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二、部门决算单位构成</w:t>
      </w:r>
    </w:p>
    <w:p w:rsidR="002545B8" w:rsidRDefault="00CE53DA">
      <w:pPr>
        <w:tabs>
          <w:tab w:val="left" w:pos="1700"/>
        </w:tabs>
        <w:spacing w:before="50" w:after="0" w:line="240" w:lineRule="auto"/>
        <w:ind w:left="1440" w:right="-20" w:hangingChars="450" w:hanging="14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第二部分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南宫市大高村镇中心卫生院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年度部门决算报表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收入支出决算总表 </w:t>
      </w:r>
    </w:p>
    <w:p w:rsidR="002545B8" w:rsidRDefault="00CE53DA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收入决算表 </w:t>
      </w:r>
    </w:p>
    <w:p w:rsidR="002545B8" w:rsidRDefault="00CE53DA">
      <w:pPr>
        <w:spacing w:after="0" w:line="319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三、支出决算表</w:t>
      </w:r>
    </w:p>
    <w:p w:rsidR="002545B8" w:rsidRDefault="00CE53DA">
      <w:pPr>
        <w:pStyle w:val="1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财政拨款收入支出决算总表 </w:t>
      </w:r>
    </w:p>
    <w:p w:rsidR="002545B8" w:rsidRDefault="00CE53DA">
      <w:pPr>
        <w:pStyle w:val="1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一般公共预算财政拨款支出决算表 </w:t>
      </w:r>
    </w:p>
    <w:p w:rsidR="002545B8" w:rsidRDefault="00CE53DA">
      <w:pPr>
        <w:pStyle w:val="1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一般公共预算财政拨款基本支出决算经济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分类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表 </w:t>
      </w:r>
    </w:p>
    <w:p w:rsidR="002545B8" w:rsidRDefault="00CE53DA">
      <w:pPr>
        <w:spacing w:before="48" w:after="0" w:line="318" w:lineRule="auto"/>
        <w:ind w:right="819" w:firstLineChars="250" w:firstLine="8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政府性基金预算财政拨款收入支出决算表 </w:t>
      </w:r>
    </w:p>
    <w:p w:rsidR="002545B8" w:rsidRDefault="00CE53DA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八、国有资本经营预算财政拨款收入支出决算表 </w:t>
      </w:r>
    </w:p>
    <w:p w:rsidR="002545B8" w:rsidRDefault="00CE53DA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九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“三公”经费等相关信息统计表 </w:t>
      </w:r>
    </w:p>
    <w:p w:rsidR="002545B8" w:rsidRDefault="00CE53DA">
      <w:pPr>
        <w:spacing w:before="48" w:after="0" w:line="318" w:lineRule="auto"/>
        <w:ind w:right="819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十、政府采购情况表</w:t>
      </w:r>
    </w:p>
    <w:p w:rsidR="002545B8" w:rsidRDefault="00CE53DA">
      <w:pPr>
        <w:tabs>
          <w:tab w:val="left" w:pos="1700"/>
        </w:tabs>
        <w:spacing w:before="50" w:after="0" w:line="240" w:lineRule="auto"/>
        <w:ind w:left="1600" w:right="-20" w:hangingChars="500" w:hanging="160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第三部分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南宫大高村镇中心卫生院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年部门决算情况说明</w:t>
      </w:r>
    </w:p>
    <w:p w:rsidR="002545B8" w:rsidRDefault="002545B8">
      <w:pPr>
        <w:spacing w:before="4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收入支出决算总体情况说明 </w:t>
      </w:r>
    </w:p>
    <w:p w:rsidR="002545B8" w:rsidRDefault="00CE53DA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收入决算情况说明 </w:t>
      </w:r>
    </w:p>
    <w:p w:rsidR="002545B8" w:rsidRDefault="00CE53DA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支出决算情况说明 </w:t>
      </w:r>
    </w:p>
    <w:p w:rsidR="002545B8" w:rsidRDefault="00CE53DA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财政拨款收入支出决算总体情况 </w:t>
      </w:r>
    </w:p>
    <w:p w:rsidR="002545B8" w:rsidRDefault="00CE53DA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“三公”经费支出决算情况说明</w:t>
      </w:r>
    </w:p>
    <w:p w:rsidR="002545B8" w:rsidRDefault="00CE53DA">
      <w:pPr>
        <w:numPr>
          <w:ilvl w:val="0"/>
          <w:numId w:val="3"/>
        </w:numPr>
        <w:spacing w:before="8" w:after="0" w:line="318" w:lineRule="auto"/>
        <w:ind w:left="759" w:right="2892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预算绩效管理工作开展情况说明 </w:t>
      </w:r>
    </w:p>
    <w:p w:rsidR="002545B8" w:rsidRDefault="00CE53DA">
      <w:pPr>
        <w:spacing w:before="8" w:after="0" w:line="318" w:lineRule="auto"/>
        <w:ind w:left="753" w:right="28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七、其他重要事项的说明</w:t>
      </w:r>
    </w:p>
    <w:p w:rsidR="002545B8" w:rsidRDefault="00CE53DA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lastRenderedPageBreak/>
        <w:t>1、机关运行经费情况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（我单位为事业单位，无需填报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机关运行经费情况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2、政府采购情况</w:t>
      </w:r>
    </w:p>
    <w:p w:rsidR="002545B8" w:rsidRDefault="002545B8">
      <w:pPr>
        <w:spacing w:before="4" w:after="0" w:line="150" w:lineRule="exact"/>
        <w:rPr>
          <w:sz w:val="15"/>
          <w:szCs w:val="15"/>
        </w:rPr>
      </w:pPr>
    </w:p>
    <w:p w:rsidR="002545B8" w:rsidRDefault="00CE53DA">
      <w:pPr>
        <w:numPr>
          <w:ilvl w:val="0"/>
          <w:numId w:val="4"/>
        </w:num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国有资产占用情况</w:t>
      </w:r>
    </w:p>
    <w:p w:rsidR="002545B8" w:rsidRDefault="002545B8">
      <w:pPr>
        <w:spacing w:before="4" w:after="0" w:line="150" w:lineRule="exact"/>
        <w:rPr>
          <w:sz w:val="15"/>
          <w:szCs w:val="15"/>
        </w:rPr>
      </w:pPr>
    </w:p>
    <w:p w:rsidR="002545B8" w:rsidRDefault="00CE53DA">
      <w:pPr>
        <w:numPr>
          <w:ilvl w:val="0"/>
          <w:numId w:val="4"/>
        </w:num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其他需要说明的情况</w:t>
      </w:r>
    </w:p>
    <w:p w:rsidR="002545B8" w:rsidRDefault="00CE53DA">
      <w:pPr>
        <w:spacing w:after="0" w:line="240" w:lineRule="auto"/>
        <w:ind w:right="-20"/>
        <w:rPr>
          <w:rFonts w:ascii="仿宋_GB2312" w:eastAsia="仿宋_GB2312" w:hAnsi="仿宋_GB2312" w:cs="仿宋_GB2312"/>
          <w:b/>
          <w:bCs/>
          <w:sz w:val="40"/>
          <w:szCs w:val="40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40"/>
          <w:szCs w:val="40"/>
          <w:lang w:eastAsia="zh-CN"/>
        </w:rPr>
        <w:t>第四部分  名词解释</w:t>
      </w:r>
    </w:p>
    <w:p w:rsidR="002545B8" w:rsidRDefault="002545B8">
      <w:pPr>
        <w:spacing w:before="3" w:after="0" w:line="150" w:lineRule="exact"/>
        <w:rPr>
          <w:sz w:val="15"/>
          <w:szCs w:val="15"/>
        </w:rPr>
      </w:pPr>
    </w:p>
    <w:p w:rsidR="002545B8" w:rsidRDefault="002545B8">
      <w:pPr>
        <w:spacing w:before="3" w:after="0" w:line="150" w:lineRule="exact"/>
        <w:rPr>
          <w:sz w:val="15"/>
          <w:szCs w:val="15"/>
        </w:rPr>
      </w:pPr>
    </w:p>
    <w:p w:rsidR="002545B8" w:rsidRDefault="002545B8">
      <w:pPr>
        <w:spacing w:before="4" w:after="0" w:line="180" w:lineRule="exact"/>
        <w:rPr>
          <w:sz w:val="44"/>
          <w:szCs w:val="44"/>
        </w:rPr>
      </w:pPr>
    </w:p>
    <w:p w:rsidR="002545B8" w:rsidRDefault="00CE53DA">
      <w:pPr>
        <w:spacing w:after="0" w:line="200" w:lineRule="exact"/>
        <w:rPr>
          <w:rFonts w:eastAsia="宋体"/>
          <w:sz w:val="40"/>
          <w:szCs w:val="40"/>
          <w:lang w:eastAsia="zh-CN"/>
        </w:rPr>
      </w:pPr>
      <w:r>
        <w:rPr>
          <w:rFonts w:eastAsia="宋体" w:hint="eastAsia"/>
          <w:sz w:val="20"/>
          <w:szCs w:val="20"/>
          <w:lang w:eastAsia="zh-CN"/>
        </w:rPr>
        <w:t xml:space="preserve">    </w:t>
      </w: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spacing w:after="0" w:line="200" w:lineRule="exact"/>
        <w:rPr>
          <w:sz w:val="20"/>
          <w:szCs w:val="20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2545B8">
      <w:pPr>
        <w:tabs>
          <w:tab w:val="left" w:pos="238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2545B8" w:rsidRDefault="00CE53DA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第一部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南宫市大高村镇中心卫生院</w:t>
      </w: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部门概况</w:t>
      </w:r>
    </w:p>
    <w:p w:rsidR="002545B8" w:rsidRDefault="002545B8">
      <w:pPr>
        <w:spacing w:before="5" w:after="0" w:line="150" w:lineRule="exact"/>
        <w:rPr>
          <w:sz w:val="15"/>
          <w:szCs w:val="15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CE53DA">
      <w:pPr>
        <w:numPr>
          <w:ilvl w:val="0"/>
          <w:numId w:val="5"/>
        </w:num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南宫市大高村镇中心卫生院</w:t>
      </w:r>
      <w:r>
        <w:rPr>
          <w:rFonts w:ascii="黑体" w:eastAsia="黑体" w:hAnsi="黑体" w:cs="黑体"/>
          <w:sz w:val="32"/>
          <w:szCs w:val="32"/>
          <w:lang w:eastAsia="zh-CN"/>
        </w:rPr>
        <w:t>部门主要职责</w:t>
      </w:r>
    </w:p>
    <w:p w:rsidR="002545B8" w:rsidRDefault="002545B8">
      <w:pPr>
        <w:spacing w:before="8" w:after="0" w:line="140" w:lineRule="exact"/>
        <w:rPr>
          <w:sz w:val="14"/>
          <w:szCs w:val="14"/>
          <w:lang w:eastAsia="zh-CN"/>
        </w:rPr>
      </w:pPr>
    </w:p>
    <w:p w:rsidR="002545B8" w:rsidRDefault="00CE53DA">
      <w:pPr>
        <w:spacing w:after="0" w:line="314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根据《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南宫市卫生和计划生育局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能配置、内设机构和人员编制方案》规定，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南宫市大高村镇中心卫生院站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的主要职责是：</w:t>
      </w:r>
    </w:p>
    <w:p w:rsidR="002545B8" w:rsidRDefault="00CE53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（1）负责本辖区的卫生工作法律、法规、政策的贯彻，卫生事业发展规划和工作计划的制订，社会公共卫生工作的组织和实施;</w:t>
      </w:r>
    </w:p>
    <w:p w:rsidR="002545B8" w:rsidRDefault="00CE53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（2）负责本辖区的基本医疗服务;</w:t>
      </w:r>
    </w:p>
    <w:p w:rsidR="002545B8" w:rsidRDefault="00CE53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（3）负责本辖区突发公共卫生事件的报告，并依据上级部门要求组织实施处置;</w:t>
      </w:r>
    </w:p>
    <w:p w:rsidR="002545B8" w:rsidRDefault="00CE53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（4）负责本辖区内的卫生信息统计、分析、上报;</w:t>
      </w:r>
    </w:p>
    <w:p w:rsidR="002545B8" w:rsidRDefault="00CE53DA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（5）负责对本辖区内村级卫生组织和乡村医生的业务指导和培训。</w:t>
      </w:r>
    </w:p>
    <w:p w:rsidR="002545B8" w:rsidRDefault="002545B8">
      <w:pPr>
        <w:spacing w:before="8" w:after="0" w:line="140" w:lineRule="exact"/>
        <w:rPr>
          <w:sz w:val="14"/>
          <w:szCs w:val="14"/>
          <w:lang w:eastAsia="zh-CN"/>
        </w:rPr>
      </w:pPr>
    </w:p>
    <w:p w:rsidR="002545B8" w:rsidRDefault="00CE53DA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二、部门决算单位构成:</w:t>
      </w:r>
    </w:p>
    <w:p w:rsidR="002545B8" w:rsidRDefault="002545B8">
      <w:pPr>
        <w:spacing w:before="7" w:after="0" w:line="140" w:lineRule="exact"/>
        <w:rPr>
          <w:sz w:val="14"/>
          <w:szCs w:val="14"/>
          <w:lang w:eastAsia="zh-CN"/>
        </w:rPr>
      </w:pPr>
    </w:p>
    <w:p w:rsidR="002545B8" w:rsidRDefault="002545B8">
      <w:pPr>
        <w:spacing w:before="1" w:after="0" w:line="140" w:lineRule="exact"/>
        <w:rPr>
          <w:sz w:val="14"/>
          <w:szCs w:val="14"/>
          <w:lang w:eastAsia="zh-CN"/>
        </w:rPr>
      </w:pPr>
    </w:p>
    <w:p w:rsidR="002545B8" w:rsidRDefault="00CE53DA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2017年南宫市大高村镇中心卫生院为财政补助事业单位，下辖共有28个村卫生室。2017年度机构情况无变动.</w:t>
      </w:r>
    </w:p>
    <w:p w:rsidR="002545B8" w:rsidRDefault="002545B8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p w:rsidR="002545B8" w:rsidRDefault="002545B8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2545B8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2545B8" w:rsidRDefault="00CE53DA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  <w:t>第二部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/>
          <w:spacing w:val="-20"/>
          <w:sz w:val="44"/>
          <w:szCs w:val="44"/>
          <w:lang w:eastAsia="zh-CN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南宫市大高村镇中心卫生院</w:t>
      </w:r>
    </w:p>
    <w:p w:rsidR="002545B8" w:rsidRDefault="00CE53DA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pacing w:val="-1"/>
          <w:w w:val="84"/>
          <w:sz w:val="32"/>
          <w:szCs w:val="32"/>
        </w:rPr>
        <w:t>201</w:t>
      </w:r>
      <w:r>
        <w:rPr>
          <w:rFonts w:ascii="微软雅黑" w:eastAsia="微软雅黑" w:hAnsi="微软雅黑" w:cs="微软雅黑" w:hint="eastAsia"/>
          <w:spacing w:val="-1"/>
          <w:w w:val="84"/>
          <w:sz w:val="32"/>
          <w:szCs w:val="32"/>
          <w:lang w:eastAsia="zh-CN"/>
        </w:rPr>
        <w:t>7</w:t>
      </w:r>
      <w:r>
        <w:rPr>
          <w:rFonts w:ascii="微软雅黑" w:eastAsia="微软雅黑" w:hAnsi="微软雅黑" w:cs="微软雅黑"/>
          <w:spacing w:val="-1"/>
          <w:sz w:val="32"/>
          <w:szCs w:val="32"/>
        </w:rPr>
        <w:t>年度部门决算报表</w:t>
      </w:r>
    </w:p>
    <w:p w:rsidR="002545B8" w:rsidRDefault="002545B8">
      <w:pPr>
        <w:spacing w:before="1" w:after="0" w:line="110" w:lineRule="exact"/>
        <w:jc w:val="center"/>
        <w:rPr>
          <w:sz w:val="11"/>
          <w:szCs w:val="11"/>
        </w:rPr>
      </w:pPr>
    </w:p>
    <w:p w:rsidR="002545B8" w:rsidRDefault="002545B8">
      <w:pPr>
        <w:spacing w:after="0" w:line="200" w:lineRule="exact"/>
        <w:jc w:val="center"/>
        <w:rPr>
          <w:sz w:val="20"/>
          <w:szCs w:val="20"/>
        </w:rPr>
        <w:sectPr w:rsidR="002545B8">
          <w:pgSz w:w="11920" w:h="16840"/>
          <w:pgMar w:top="1580" w:right="280" w:bottom="1480" w:left="1080" w:header="720" w:footer="720" w:gutter="0"/>
          <w:cols w:space="720"/>
        </w:sectPr>
      </w:pPr>
    </w:p>
    <w:p w:rsidR="002545B8" w:rsidRDefault="00CE53DA">
      <w:pPr>
        <w:tabs>
          <w:tab w:val="left" w:pos="1700"/>
        </w:tabs>
        <w:spacing w:before="50" w:after="0" w:line="240" w:lineRule="auto"/>
        <w:ind w:right="-20"/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6895465" cy="546671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5466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8714105" cy="3133090"/>
            <wp:effectExtent l="0" t="0" r="1079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410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2545B8">
      <w:pPr>
        <w:tabs>
          <w:tab w:val="left" w:pos="1700"/>
        </w:tabs>
        <w:spacing w:before="50" w:after="0" w:line="240" w:lineRule="auto"/>
        <w:ind w:right="-20"/>
      </w:pPr>
    </w:p>
    <w:p w:rsidR="002545B8" w:rsidRDefault="002545B8">
      <w:pPr>
        <w:tabs>
          <w:tab w:val="left" w:pos="1700"/>
        </w:tabs>
        <w:spacing w:before="50" w:after="0" w:line="240" w:lineRule="auto"/>
        <w:ind w:right="-20"/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</w:p>
    <w:p w:rsidR="002545B8" w:rsidRDefault="00CE53DA">
      <w:pPr>
        <w:tabs>
          <w:tab w:val="left" w:pos="1700"/>
        </w:tabs>
        <w:spacing w:before="50" w:after="0" w:line="240" w:lineRule="auto"/>
        <w:ind w:right="-20"/>
        <w:rPr>
          <w:lang w:eastAsia="zh-CN"/>
        </w:rPr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9503410" cy="36715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3410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7209790" cy="5342890"/>
            <wp:effectExtent l="0" t="0" r="1016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534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9502775" cy="2595880"/>
            <wp:effectExtent l="0" t="0" r="317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277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9190355" cy="5285740"/>
            <wp:effectExtent l="0" t="0" r="1079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355" cy="528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507220" cy="1967865"/>
            <wp:effectExtent l="0" t="0" r="17780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22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2545B8"/>
    <w:p w:rsidR="002545B8" w:rsidRDefault="002545B8"/>
    <w:p w:rsidR="002545B8" w:rsidRDefault="002545B8"/>
    <w:p w:rsidR="002545B8" w:rsidRDefault="00CE53DA">
      <w:pPr>
        <w:tabs>
          <w:tab w:val="left" w:pos="2345"/>
        </w:tabs>
        <w:rPr>
          <w:rFonts w:eastAsia="宋体"/>
          <w:b/>
          <w:bCs/>
          <w:sz w:val="32"/>
          <w:szCs w:val="32"/>
          <w:lang w:eastAsia="zh-CN"/>
        </w:rPr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ab/>
        <w:t xml:space="preserve">                   </w:t>
      </w:r>
      <w:r>
        <w:rPr>
          <w:rFonts w:eastAsia="宋体" w:hint="eastAsia"/>
          <w:b/>
          <w:bCs/>
          <w:sz w:val="32"/>
          <w:szCs w:val="32"/>
          <w:lang w:eastAsia="zh-CN"/>
        </w:rPr>
        <w:t>此表为空表</w:t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509125" cy="3371215"/>
            <wp:effectExtent l="0" t="0" r="158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12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CE53DA">
      <w:pPr>
        <w:tabs>
          <w:tab w:val="left" w:pos="275"/>
        </w:tabs>
        <w:rPr>
          <w:rFonts w:eastAsia="宋体"/>
          <w:lang w:eastAsia="zh-CN"/>
        </w:rPr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ab/>
        <w:t xml:space="preserve">                                         </w:t>
      </w:r>
      <w:r>
        <w:rPr>
          <w:rFonts w:eastAsia="宋体" w:hint="eastAsia"/>
          <w:b/>
          <w:bCs/>
          <w:sz w:val="32"/>
          <w:szCs w:val="32"/>
          <w:lang w:eastAsia="zh-CN"/>
        </w:rPr>
        <w:t>此表为空表</w:t>
      </w:r>
    </w:p>
    <w:p w:rsidR="002545B8" w:rsidRDefault="00CE53DA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504680" cy="4692015"/>
            <wp:effectExtent l="0" t="0" r="1270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680" cy="4692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2545B8"/>
    <w:p w:rsidR="002545B8" w:rsidRDefault="00CE53DA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257030" cy="4323715"/>
            <wp:effectExtent l="0" t="0" r="127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703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5B8" w:rsidRDefault="002545B8">
      <w:pPr>
        <w:tabs>
          <w:tab w:val="left" w:pos="1700"/>
        </w:tabs>
        <w:spacing w:before="50" w:after="0" w:line="240" w:lineRule="auto"/>
        <w:ind w:right="-20"/>
      </w:pPr>
    </w:p>
    <w:p w:rsidR="002545B8" w:rsidRDefault="00CE53DA">
      <w:pPr>
        <w:tabs>
          <w:tab w:val="left" w:pos="1700"/>
        </w:tabs>
        <w:spacing w:before="50" w:after="0" w:line="240" w:lineRule="auto"/>
        <w:ind w:right="-20"/>
        <w:rPr>
          <w:rFonts w:eastAsia="宋体"/>
          <w:lang w:eastAsia="zh-CN"/>
        </w:rPr>
        <w:sectPr w:rsidR="002545B8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 xml:space="preserve">                                        </w:t>
      </w:r>
      <w:r>
        <w:rPr>
          <w:rFonts w:eastAsia="宋体" w:hint="eastAsia"/>
          <w:b/>
          <w:bCs/>
          <w:sz w:val="32"/>
          <w:szCs w:val="32"/>
          <w:lang w:eastAsia="zh-CN"/>
        </w:rPr>
        <w:t>此表为空表</w:t>
      </w:r>
    </w:p>
    <w:p w:rsidR="002545B8" w:rsidRDefault="002545B8">
      <w:pPr>
        <w:tabs>
          <w:tab w:val="left" w:pos="1700"/>
        </w:tabs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2545B8" w:rsidRDefault="00CE53DA">
      <w:pPr>
        <w:numPr>
          <w:ilvl w:val="0"/>
          <w:numId w:val="6"/>
        </w:numPr>
        <w:spacing w:after="0" w:line="240" w:lineRule="auto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南宫市大高村镇中心卫生事业</w:t>
      </w: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>201</w:t>
      </w:r>
      <w:r>
        <w:rPr>
          <w:rFonts w:ascii="微软雅黑" w:eastAsia="微软雅黑" w:hAnsi="微软雅黑" w:cs="微软雅黑" w:hint="eastAsia"/>
          <w:w w:val="85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>年部门决算情况说明</w:t>
      </w:r>
    </w:p>
    <w:p w:rsidR="002545B8" w:rsidRDefault="002545B8">
      <w:pPr>
        <w:spacing w:before="2" w:after="0" w:line="120" w:lineRule="exact"/>
        <w:rPr>
          <w:sz w:val="12"/>
          <w:szCs w:val="12"/>
          <w:lang w:eastAsia="zh-CN"/>
        </w:rPr>
      </w:pPr>
    </w:p>
    <w:p w:rsidR="002545B8" w:rsidRDefault="002545B8">
      <w:pPr>
        <w:spacing w:after="0" w:line="200" w:lineRule="exact"/>
        <w:rPr>
          <w:sz w:val="20"/>
          <w:szCs w:val="20"/>
          <w:lang w:eastAsia="zh-CN"/>
        </w:rPr>
      </w:pPr>
    </w:p>
    <w:p w:rsidR="002545B8" w:rsidRDefault="00CE53DA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一、收入支出决算总体情况说明</w:t>
      </w:r>
    </w:p>
    <w:p w:rsidR="002545B8" w:rsidRDefault="002545B8">
      <w:pPr>
        <w:spacing w:before="4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318" w:lineRule="auto"/>
        <w:ind w:left="114" w:right="20" w:firstLineChars="200" w:firstLine="48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4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         2017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年度预算收入为311.93万元，预算支出为320.29万元，其中：医疗卫生基本支出为320.29万元，项目支出为0万元。预算安排较上年减少81.97万元，减幅20.8%，减少原因为医保控费政策使住院费用和人次均有下降、同时季节性疾病发病率降低及患者就医逐渐多选市级医院，事业收入减少。</w:t>
      </w:r>
    </w:p>
    <w:p w:rsidR="002545B8" w:rsidRDefault="00CE53DA">
      <w:pPr>
        <w:spacing w:before="8" w:after="0" w:line="318" w:lineRule="auto"/>
        <w:ind w:left="114" w:right="181" w:firstLine="72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2017年用事业基金弥补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收支差额8.36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比上年减少30.06万元，降幅138%，原因为医疗人次下降，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事业收入减少。</w:t>
      </w:r>
    </w:p>
    <w:p w:rsidR="002545B8" w:rsidRDefault="00CE53DA">
      <w:pPr>
        <w:spacing w:before="8" w:after="0" w:line="318" w:lineRule="auto"/>
        <w:ind w:left="114" w:right="181" w:firstLine="72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二、收入决算情况说明</w:t>
      </w:r>
    </w:p>
    <w:p w:rsidR="002545B8" w:rsidRDefault="002545B8">
      <w:pPr>
        <w:spacing w:before="4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2017年度财政拨款收入决算为139.93万元，年初预算财政拨款收入为64.26万元，增加75.67万元，增幅为117.76%，主要是基本公共卫生经费补助和职工精神文明奖。事业收入165.54万元，其他收入6.46万元。</w:t>
      </w:r>
    </w:p>
    <w:p w:rsidR="002545B8" w:rsidRDefault="00CE53DA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2017年度财政拨款收入决算为139.93万元，2016年度财政拨款收入决算为116.3万元，增加了23.63万元，增幅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为20.32%，增幅原因为上年部分公共卫生补助及精神文明奖。</w:t>
      </w:r>
    </w:p>
    <w:p w:rsidR="002545B8" w:rsidRDefault="00CE53DA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</w:t>
      </w:r>
      <w:r>
        <w:rPr>
          <w:rFonts w:ascii="黑体" w:eastAsia="黑体" w:hAnsi="黑体" w:cs="黑体"/>
          <w:sz w:val="32"/>
          <w:szCs w:val="32"/>
          <w:lang w:eastAsia="zh-CN"/>
        </w:rPr>
        <w:t>支出决算情况说明</w:t>
      </w:r>
    </w:p>
    <w:p w:rsidR="002545B8" w:rsidRDefault="00CE53DA">
      <w:pPr>
        <w:spacing w:before="50" w:after="0" w:line="240" w:lineRule="auto"/>
        <w:ind w:left="753" w:right="-20" w:firstLineChars="100" w:firstLine="3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2017年度财政拨款支出决算为139.93万元，年初预</w:t>
      </w:r>
    </w:p>
    <w:p w:rsidR="002545B8" w:rsidRDefault="00CE53DA">
      <w:pPr>
        <w:spacing w:before="50" w:after="0" w:line="240" w:lineRule="auto"/>
        <w:ind w:right="-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算财政拨款支出为64.26万元，增加了75.67万元，增幅为117.76%，主要是基本公共卫生经费补助和职工精神文明奖。</w:t>
      </w:r>
    </w:p>
    <w:p w:rsidR="002545B8" w:rsidRDefault="00CE53DA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2017年度财政拨款支出决算为139.93万元，2016年度财政拨款支出决算为116.3万元，增加了23.63万元，增幅为20.32%，增幅原因为上年部分公共卫生补助及精神文明奖。</w:t>
      </w:r>
    </w:p>
    <w:p w:rsidR="002545B8" w:rsidRDefault="00CE53DA">
      <w:pPr>
        <w:spacing w:before="50" w:after="0" w:line="240" w:lineRule="auto"/>
        <w:ind w:left="753" w:right="-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2017年年初预算支出为236.26万元，其中：医疗卫</w:t>
      </w:r>
    </w:p>
    <w:p w:rsidR="002545B8" w:rsidRDefault="00CE53DA">
      <w:pPr>
        <w:spacing w:before="50" w:after="0" w:line="240" w:lineRule="auto"/>
        <w:ind w:right="-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生基本支出236.26万元，项目支出0万元，其他支出0万元。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before="8" w:after="0" w:line="318" w:lineRule="auto"/>
        <w:ind w:left="114" w:right="181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总支出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决算为320.29万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支出决算按照功能用途分类情况：基层医疗卫生机构支出为253.86万元，基本公共卫生服务支出为66.43万元.按照支出性质情况：基本支出320.29万元，项目支出0万元。</w:t>
      </w:r>
    </w:p>
    <w:p w:rsidR="002545B8" w:rsidRDefault="00CE53DA">
      <w:pPr>
        <w:spacing w:after="0" w:line="318" w:lineRule="auto"/>
        <w:ind w:right="180" w:firstLineChars="200" w:firstLine="64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</w:t>
      </w:r>
      <w:r>
        <w:rPr>
          <w:rFonts w:ascii="黑体" w:eastAsia="黑体" w:hAnsi="黑体" w:cs="黑体"/>
          <w:sz w:val="32"/>
          <w:szCs w:val="32"/>
          <w:lang w:eastAsia="zh-CN"/>
        </w:rPr>
        <w:t>财政拨款收入支出决算总体情况说明</w:t>
      </w:r>
    </w:p>
    <w:p w:rsidR="002545B8" w:rsidRDefault="00CE53DA">
      <w:pPr>
        <w:spacing w:after="0" w:line="318" w:lineRule="auto"/>
        <w:ind w:left="753" w:right="18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（一）收入支出预算安排情况</w:t>
      </w:r>
    </w:p>
    <w:p w:rsidR="002545B8" w:rsidRDefault="00CE53DA">
      <w:pPr>
        <w:spacing w:after="0" w:line="318" w:lineRule="auto"/>
        <w:ind w:left="753" w:right="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2017年度财政拨款收入预算安排算为139.93万元，</w:t>
      </w:r>
    </w:p>
    <w:p w:rsidR="002545B8" w:rsidRDefault="00CE53DA">
      <w:pPr>
        <w:spacing w:after="0" w:line="318" w:lineRule="auto"/>
        <w:ind w:right="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财政拨款预算支出为139.93万元，其中：基本支出139.93万元，项目支出0万元。2017年度财政拨款预算安排收支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平衡，无增减。</w:t>
      </w:r>
    </w:p>
    <w:p w:rsidR="002545B8" w:rsidRDefault="00CE53DA">
      <w:pPr>
        <w:spacing w:after="0" w:line="318" w:lineRule="auto"/>
        <w:ind w:left="753" w:right="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（二）收入支出预算执行情况</w:t>
      </w:r>
    </w:p>
    <w:p w:rsidR="002545B8" w:rsidRDefault="00CE53DA">
      <w:pPr>
        <w:numPr>
          <w:ilvl w:val="0"/>
          <w:numId w:val="7"/>
        </w:numPr>
        <w:spacing w:after="0" w:line="319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收入支出预算对比分析</w:t>
      </w:r>
    </w:p>
    <w:p w:rsidR="002545B8" w:rsidRDefault="00CE53DA">
      <w:pPr>
        <w:spacing w:before="50" w:after="0" w:line="240" w:lineRule="auto"/>
        <w:ind w:left="753" w:right="-20" w:firstLineChars="100" w:firstLine="3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2017年度财政拨款收入决算为139.93万元，年初预</w:t>
      </w:r>
    </w:p>
    <w:p w:rsidR="002545B8" w:rsidRDefault="00CE53DA">
      <w:pPr>
        <w:spacing w:after="0" w:line="319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算财政拨款收入为64.26万元，增加了75.67万元，增幅为117.76%。2017年度财政拨款收入决算为139.93万元，2016年度财政拨款收入决算为116.3万元，增加了23.63万元，增幅为20.32%。</w:t>
      </w:r>
    </w:p>
    <w:p w:rsidR="002545B8" w:rsidRDefault="00CE53DA">
      <w:pPr>
        <w:spacing w:before="8" w:after="0" w:line="318" w:lineRule="auto"/>
        <w:ind w:left="114" w:right="181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总支出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决算为320.29万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出决算按照功能用途分类情况：基层医疗卫生机构支出为253.86万元，基本公共卫生服务支出为66.43万元.按照支出性质情况：基本支出320.29万元，项目支出0万元。按照经济分类情况：工资福利支出97.78万元、商品和服务支出178.28万元、对个人和家庭补助支出41.82万元、其他资本性支出2.41万元。</w:t>
      </w:r>
    </w:p>
    <w:p w:rsidR="002545B8" w:rsidRDefault="00CE53DA">
      <w:pPr>
        <w:numPr>
          <w:ilvl w:val="0"/>
          <w:numId w:val="7"/>
        </w:numPr>
        <w:spacing w:after="0" w:line="319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收入支出结构分析</w:t>
      </w:r>
    </w:p>
    <w:p w:rsidR="002545B8" w:rsidRDefault="00CE53DA">
      <w:pPr>
        <w:numPr>
          <w:ilvl w:val="0"/>
          <w:numId w:val="8"/>
        </w:numPr>
        <w:spacing w:after="0" w:line="318" w:lineRule="auto"/>
        <w:ind w:left="114" w:right="20" w:firstLineChars="200" w:firstLine="48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>2017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年度决算总收入311.93万元，其中一般公共预算补助收入139.93万元，占44.86%；事业收入165.54万元，占53.07%；其他收入6.46万元，占2.07%。总体收入较上年较上年减少81.97万元，减幅20.8%。其中：财政补助收入较上年增加23.63万元、增幅20.32%，增幅原因为上年部分公共卫生补助及精神文明奖；事业收入减少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106.56万元、减幅39.16%，减少原因为医保控费政策使住院费用和人次均有下降、同时季节性疾病发病率降低及患者就医逐渐多选市级医院；其他收入增加0.96万元，增幅17.45%，增幅原因为二类疫苗和银行存款利息增加。</w:t>
      </w:r>
    </w:p>
    <w:p w:rsidR="002545B8" w:rsidRDefault="00CE53DA">
      <w:pPr>
        <w:numPr>
          <w:ilvl w:val="0"/>
          <w:numId w:val="8"/>
        </w:numPr>
        <w:spacing w:after="0" w:line="319" w:lineRule="auto"/>
        <w:ind w:left="114" w:firstLineChars="200" w:firstLine="40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度决算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总支出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为320.29万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其中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：医疗卫生与计划生育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基本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320.29万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，占100%。2017年度无项目支出情况。</w:t>
      </w:r>
    </w:p>
    <w:p w:rsidR="002545B8" w:rsidRDefault="00CE53DA">
      <w:pPr>
        <w:numPr>
          <w:ilvl w:val="0"/>
          <w:numId w:val="8"/>
        </w:numPr>
        <w:spacing w:before="8" w:after="0" w:line="318" w:lineRule="auto"/>
        <w:ind w:left="114" w:right="181"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017年用事业基金弥补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收支差额8.36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，比上年减少30.06万元，减幅138.52%。原因为医疗人次下降事业收入减少。。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240" w:lineRule="auto"/>
        <w:ind w:left="42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 五</w:t>
      </w:r>
      <w:r>
        <w:rPr>
          <w:rFonts w:ascii="黑体" w:eastAsia="黑体" w:hAnsi="黑体" w:cs="黑体"/>
          <w:sz w:val="32"/>
          <w:szCs w:val="32"/>
          <w:lang w:eastAsia="zh-CN"/>
        </w:rPr>
        <w:t>“三公”经费支出决算情况说明</w:t>
      </w:r>
    </w:p>
    <w:p w:rsidR="002545B8" w:rsidRDefault="00CE53DA">
      <w:pPr>
        <w:widowControl/>
        <w:numPr>
          <w:ilvl w:val="0"/>
          <w:numId w:val="9"/>
        </w:numPr>
        <w:adjustRightInd w:val="0"/>
        <w:snapToGrid w:val="0"/>
        <w:spacing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2545B8" w:rsidRDefault="00CE53DA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45B8">
        <w:trPr>
          <w:jc w:val="center"/>
        </w:trPr>
        <w:tc>
          <w:tcPr>
            <w:tcW w:w="2994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45B8" w:rsidRDefault="00CE53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45B8" w:rsidRDefault="002545B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2545B8" w:rsidRDefault="002545B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2545B8" w:rsidRDefault="002545B8">
      <w:p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545B8" w:rsidRDefault="00CE53DA">
      <w:p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我单位无“三公”经费支出。与上年相同无增减变化。</w:t>
      </w:r>
    </w:p>
    <w:p w:rsidR="002545B8" w:rsidRDefault="002545B8">
      <w:pPr>
        <w:spacing w:before="4" w:after="0" w:line="150" w:lineRule="exact"/>
        <w:rPr>
          <w:sz w:val="15"/>
          <w:szCs w:val="15"/>
          <w:lang w:eastAsia="zh-CN"/>
        </w:rPr>
      </w:pPr>
    </w:p>
    <w:p w:rsidR="002545B8" w:rsidRDefault="002545B8">
      <w:pPr>
        <w:spacing w:before="4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lastRenderedPageBreak/>
        <w:t>六、预算绩效管理工作开展情况说明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CE53DA" w:rsidRDefault="00CE53DA" w:rsidP="00CE53DA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CE53DA" w:rsidRDefault="00CE53DA" w:rsidP="00CE53DA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2017年，市卫计局整体预算安排各项资金，强力推进医疗体系的管理改革，扎实推进医疗覆盖本乡居民，不断完善为生服务体系，为我乡居民的身体健康提供了资金保障。</w:t>
      </w:r>
    </w:p>
    <w:p w:rsidR="00CE53DA" w:rsidRDefault="00CE53DA" w:rsidP="00CE53DA">
      <w:pPr>
        <w:pStyle w:val="a7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CE53DA" w:rsidRDefault="00CE53DA" w:rsidP="00CE53DA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前期准备：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成立以院长任组长，财务科、业务科室等部门为成员的绩效评价工作组，统筹组织开展绩效评价工作。召开专题会议研究部署，认真传达学习《关于做好 2018 年省直部门绩效自评工作的通知》等文件精神，明确目标任务， 落实责任分工，确保自评工作扎实有效开展。 </w:t>
      </w:r>
    </w:p>
    <w:p w:rsidR="00CE53DA" w:rsidRDefault="00CE53DA" w:rsidP="00CE53DA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2、组织实施。对于上级拨付资金补助我们正确使用，并对资金使用进行综合自评，采取收集、审核资料、综合评价等措施进行定量定性的评价，最后分别形成结论。</w:t>
      </w:r>
    </w:p>
    <w:p w:rsidR="00CE53DA" w:rsidRDefault="00CE53DA" w:rsidP="00CE53DA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3、分析评价。根据评价，对发现的问题提出意见和建议，汇总形成我院专项项目绩效目标自评表，按照规定的文本格式和要求撰写绩效评价报告，并在规定的时间内正式提交。</w:t>
      </w:r>
    </w:p>
    <w:p w:rsidR="00CE53DA" w:rsidRDefault="00CE53DA" w:rsidP="00CE53DA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（三）部门整体绩效目标的完成情况</w:t>
      </w:r>
    </w:p>
    <w:p w:rsidR="00CE53DA" w:rsidRDefault="00CE53DA" w:rsidP="00CE53DA">
      <w:pPr>
        <w:pStyle w:val="a7"/>
        <w:widowControl/>
        <w:shd w:val="clear" w:color="auto" w:fill="FFFFFF"/>
        <w:spacing w:before="315" w:beforeAutospacing="0" w:after="315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通过努力，我乡居民对我们卫生工作给予很高的评价，通过公共卫生科普宣传大大提高了居民群众对健康的预防意识，对于提高全民健康素质起到了很好的促进作用。对于卫生院通过绩效考核在医疗方面实现了较高的提升，人员大大提高，并且提高专业水平坚持与病人为中心为人民服务的精神，坚持人员培训以提高医疗水平为基础，更好的为人民服务。</w:t>
      </w:r>
    </w:p>
    <w:p w:rsidR="00CE53DA" w:rsidRPr="00CE53DA" w:rsidRDefault="00CE53DA">
      <w:pPr>
        <w:spacing w:before="50" w:after="0" w:line="240" w:lineRule="auto"/>
        <w:ind w:left="753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545B8" w:rsidRDefault="00CE53DA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七、</w:t>
      </w:r>
      <w:r>
        <w:rPr>
          <w:rFonts w:ascii="黑体" w:eastAsia="黑体" w:hAnsi="黑体" w:cs="黑体"/>
          <w:sz w:val="32"/>
          <w:szCs w:val="32"/>
          <w:lang w:eastAsia="zh-CN"/>
        </w:rPr>
        <w:t>其他重要事项的说明</w:t>
      </w:r>
    </w:p>
    <w:p w:rsidR="002545B8" w:rsidRDefault="00CE53DA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（一）会议费支出情况</w:t>
      </w:r>
    </w:p>
    <w:p w:rsidR="002545B8" w:rsidRDefault="00CE53DA">
      <w:pPr>
        <w:spacing w:before="3" w:after="0" w:line="150" w:lineRule="exact"/>
        <w:rPr>
          <w:rFonts w:eastAsia="宋体"/>
          <w:sz w:val="15"/>
          <w:szCs w:val="15"/>
          <w:lang w:eastAsia="zh-CN"/>
        </w:rPr>
      </w:pPr>
      <w:r>
        <w:rPr>
          <w:rFonts w:eastAsia="宋体" w:hint="eastAsia"/>
          <w:sz w:val="15"/>
          <w:szCs w:val="15"/>
          <w:lang w:eastAsia="zh-CN"/>
        </w:rPr>
        <w:t xml:space="preserve">            </w:t>
      </w:r>
    </w:p>
    <w:p w:rsidR="002545B8" w:rsidRDefault="00CE53DA">
      <w:pPr>
        <w:spacing w:after="0" w:line="240" w:lineRule="auto"/>
        <w:ind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2017年度无会议费支出情况。</w:t>
      </w:r>
    </w:p>
    <w:p w:rsidR="002545B8" w:rsidRDefault="00CE53DA">
      <w:pPr>
        <w:numPr>
          <w:ilvl w:val="0"/>
          <w:numId w:val="10"/>
        </w:numPr>
        <w:spacing w:after="0" w:line="240" w:lineRule="auto"/>
        <w:ind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培训费支出情况</w:t>
      </w:r>
    </w:p>
    <w:p w:rsidR="002545B8" w:rsidRDefault="00CE53DA">
      <w:pPr>
        <w:spacing w:after="0" w:line="240" w:lineRule="auto"/>
        <w:ind w:left="80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2017年度未使用财政预算拨款收入培训情况。</w:t>
      </w:r>
    </w:p>
    <w:p w:rsidR="002545B8" w:rsidRDefault="00CE53DA">
      <w:pPr>
        <w:numPr>
          <w:ilvl w:val="0"/>
          <w:numId w:val="10"/>
        </w:numPr>
        <w:spacing w:after="0" w:line="240" w:lineRule="auto"/>
        <w:ind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机关运行经费情况</w:t>
      </w:r>
    </w:p>
    <w:p w:rsidR="002545B8" w:rsidRDefault="00CE53DA">
      <w:pPr>
        <w:spacing w:after="0" w:line="240" w:lineRule="auto"/>
        <w:ind w:left="80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我单位为事业单位，无需填报机关运行经费情况。</w:t>
      </w:r>
    </w:p>
    <w:p w:rsidR="002545B8" w:rsidRDefault="002545B8">
      <w:pPr>
        <w:spacing w:before="4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before="8" w:after="0" w:line="318" w:lineRule="auto"/>
        <w:ind w:left="834" w:right="181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（四）政府采购情况</w:t>
      </w:r>
    </w:p>
    <w:p w:rsidR="002545B8" w:rsidRDefault="00CE53DA">
      <w:pPr>
        <w:spacing w:before="8" w:after="0" w:line="318" w:lineRule="auto"/>
        <w:ind w:left="834" w:right="181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2017年度我单位无政府采购情况。</w:t>
      </w:r>
    </w:p>
    <w:p w:rsidR="002545B8" w:rsidRDefault="00CE53DA">
      <w:pPr>
        <w:spacing w:after="0" w:line="240" w:lineRule="auto"/>
        <w:ind w:left="834" w:right="-20"/>
        <w:rPr>
          <w:sz w:val="15"/>
          <w:szCs w:val="15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（五）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国有资产占用情况</w:t>
      </w:r>
    </w:p>
    <w:p w:rsidR="002545B8" w:rsidRDefault="00CE53DA">
      <w:pPr>
        <w:spacing w:after="0" w:line="318" w:lineRule="auto"/>
        <w:ind w:left="114" w:right="21"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截至</w:t>
      </w:r>
      <w:r>
        <w:rPr>
          <w:rFonts w:ascii="仿宋_GB2312" w:eastAsia="仿宋_GB2312" w:hAnsi="仿宋_GB2312" w:cs="仿宋_GB2312"/>
          <w:spacing w:val="-7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pacing w:val="-7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/>
          <w:spacing w:val="-7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/>
          <w:spacing w:val="-7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31</w:t>
      </w:r>
      <w:r>
        <w:rPr>
          <w:rFonts w:ascii="仿宋_GB2312" w:eastAsia="仿宋_GB2312" w:hAnsi="仿宋_GB2312" w:cs="仿宋_GB2312"/>
          <w:spacing w:val="-7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固定资产总计350.94万元，其中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单位价值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仿宋_GB2312"/>
          <w:spacing w:val="-8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万元以上大 型设备</w:t>
      </w:r>
      <w:r>
        <w:rPr>
          <w:rFonts w:ascii="仿宋_GB2312" w:eastAsia="仿宋_GB2312" w:hAnsi="仿宋_GB2312" w:cs="仿宋_GB2312"/>
          <w:spacing w:val="-8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台（套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），房屋资产计159.30万元、救护车计6.51万元、通用办公设备及家具计79.58万元、专用设备105.55万元。比2016年增加6.27万元，为新购通用办公设备。</w:t>
      </w:r>
    </w:p>
    <w:p w:rsidR="002545B8" w:rsidRDefault="00CE53DA">
      <w:pPr>
        <w:spacing w:after="0" w:line="318" w:lineRule="auto"/>
        <w:ind w:left="114" w:right="21"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我单位无下属事业单位。下辖28个村卫生室与上年相同无变化。</w:t>
      </w:r>
    </w:p>
    <w:p w:rsidR="002545B8" w:rsidRDefault="00CE53DA">
      <w:pPr>
        <w:numPr>
          <w:ilvl w:val="0"/>
          <w:numId w:val="11"/>
        </w:numPr>
        <w:spacing w:after="0" w:line="318" w:lineRule="auto"/>
        <w:ind w:left="834"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资产负债情况</w:t>
      </w:r>
    </w:p>
    <w:p w:rsidR="002545B8" w:rsidRDefault="00CE53DA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1、2017年，卫生院总资产为528.67万元，总负债53.29万元，净资产为475.38万元。较上年相比资产减少21.94万元，减幅3.9%，原因是负债减少20.22万元，减幅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27.5%，主要原因是应付款项减少。净资产减少1.72万元，原因是专用基金支出。</w:t>
      </w:r>
    </w:p>
    <w:p w:rsidR="002545B8" w:rsidRDefault="00CE53DA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2、资产情况分析</w:t>
      </w:r>
    </w:p>
    <w:p w:rsidR="002545B8" w:rsidRDefault="00CE53DA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2017年卫生院总资产528.67万元，总负债53.29万元，负债率10.08%，较上年减少3.27%。</w:t>
      </w:r>
    </w:p>
    <w:p w:rsidR="002545B8" w:rsidRDefault="00CE53DA">
      <w:pPr>
        <w:spacing w:before="50" w:after="0" w:line="240" w:lineRule="auto"/>
        <w:ind w:left="834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.其他需要说明的情况</w:t>
      </w:r>
    </w:p>
    <w:p w:rsidR="002545B8" w:rsidRDefault="002545B8">
      <w:pPr>
        <w:spacing w:before="3" w:after="0" w:line="150" w:lineRule="exact"/>
        <w:rPr>
          <w:sz w:val="15"/>
          <w:szCs w:val="15"/>
          <w:lang w:eastAsia="zh-CN"/>
        </w:rPr>
      </w:pPr>
    </w:p>
    <w:p w:rsidR="002545B8" w:rsidRDefault="00CE53DA">
      <w:pPr>
        <w:spacing w:after="0" w:line="318" w:lineRule="auto"/>
        <w:ind w:right="18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1、我单位不涉及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《政府性基金财政拨款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本支出决算经济分类表》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国有资本经营预算财政拨款收入支出决算表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政府采购情况表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，因此均为空表。</w:t>
      </w:r>
    </w:p>
    <w:p w:rsidR="002545B8" w:rsidRDefault="00CE53DA">
      <w:pPr>
        <w:spacing w:after="0" w:line="318" w:lineRule="auto"/>
        <w:ind w:right="180" w:firstLineChars="200" w:firstLine="640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</w:t>
      </w: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三公经费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为</w:t>
      </w:r>
      <w:r>
        <w:rPr>
          <w:rFonts w:ascii="仿宋_GB2312" w:eastAsia="仿宋_GB2312" w:hAnsi="仿宋_GB2312" w:cs="仿宋_GB2312"/>
          <w:spacing w:val="-5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pacing w:val="-6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万元，所以《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三公经费及相关信息表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只填写其他用车一辆。与上年相同无增减变化。</w:t>
      </w:r>
    </w:p>
    <w:p w:rsidR="002545B8" w:rsidRDefault="002545B8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2545B8" w:rsidRDefault="002545B8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2545B8" w:rsidRDefault="002545B8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2545B8" w:rsidRDefault="002545B8">
      <w:pPr>
        <w:spacing w:after="0" w:line="318" w:lineRule="auto"/>
        <w:ind w:right="180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2545B8" w:rsidRDefault="002545B8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2545B8" w:rsidRDefault="002545B8">
      <w:pPr>
        <w:spacing w:before="12" w:after="0" w:line="260" w:lineRule="exact"/>
        <w:rPr>
          <w:sz w:val="26"/>
          <w:szCs w:val="26"/>
          <w:lang w:eastAsia="zh-CN"/>
        </w:rPr>
      </w:pPr>
    </w:p>
    <w:p w:rsidR="002545B8" w:rsidRDefault="00CE53DA">
      <w:pPr>
        <w:adjustRightInd w:val="0"/>
        <w:snapToGrid w:val="0"/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eastAsia="zh-CN"/>
        </w:rPr>
        <w:t>第四部分  名词解释</w:t>
      </w:r>
    </w:p>
    <w:p w:rsidR="002545B8" w:rsidRDefault="002545B8">
      <w:pPr>
        <w:adjustRightInd w:val="0"/>
        <w:snapToGrid w:val="0"/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财政拨款收入：本年度从本级财政部门取得的财政拨款，包括一般公共预算财政拨款和政府性基金预算财政拨款。 </w:t>
      </w: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事业收入：指事业单位开展专业业务活动及辅助活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动所 取得的收入。</w:t>
      </w: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其他收入：指除上述“财政拨款收入”、“事业收入”、 “经营收入”等以外的收入。</w:t>
      </w: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用事业基金弥补收支差额：指事业单位在用当年的“财 政拨款收入”、“财政拨款结转和结余资金”、“事业收入”、“经营收入”、“其他收入”不足以安排当年支出的情况下，使用以前年 度积累的事业基金（事业单位当年收支相抵后按国家规定提取、用于弥补以后年度收支差额的基金）弥补本年度收支缺口的资金。</w:t>
      </w: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年初结转和结余：指以前年度尚未完成、结转到本年仍 按原规定用途继续使用的资金，或项目已完成等产生的结余资金。</w:t>
      </w: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结余分配：指事业单位按照事业单位会计制度的规定从 非财政补助结余中分配的事业基金和职工福利基金等。</w:t>
      </w:r>
    </w:p>
    <w:p w:rsidR="002545B8" w:rsidRDefault="00CE53DA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年末结转和结余：指单位按有关规定结转到下年或以后 年度继续使用的资金，或项目已完成等产生的结余资金。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八、基本支出：填列单位为保障机构正常运转、完成日常工 作任务而发生的各项支出。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九、项目支出：填列单位为完成特定的行政工作任务或事业 发展目标，在基本支出之外发生的各项支出。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十、基本建设支出：填列由本级发展与改革部门集中安排的 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十一、其他资本性支出：填列由各级非发展与改革部门集中 安排的用于购置固定资产、战备性和应急性储备、土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地和无形资产，以及购建基础设施、大型修缮和财政支持企业更新改造所发 生的支出。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十二、“三公”经费：指部门用财政拨款安排的因公出国（境）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费反映单位按规定开支的各类公务接待（含外宾接待）支出。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十三、其他交通费用：填列单位除公务用车运行维护费以外 的其他交通费用。如飞机、船舶等的燃料费、维修费、过桥过路 38 费、保险费、出租车费用、公务交通补贴等。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十四、公务用车购置：填列单位公务用车车辆购置支出（含 车辆购置税）。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十五、其他交通工具购置：填列单位除公务用车外的其他各 类交通工具（如船舶、飞机）购置支出（含车辆购置税）。</w:t>
      </w:r>
    </w:p>
    <w:p w:rsidR="002545B8" w:rsidRDefault="00CE53DA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十六、机关运行经费：指为保障行政单位（包括参照公务员 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2545B8" w:rsidRDefault="002545B8">
      <w:pPr>
        <w:rPr>
          <w:lang w:eastAsia="zh-CN"/>
        </w:rPr>
      </w:pPr>
    </w:p>
    <w:sectPr w:rsidR="002545B8" w:rsidSect="00B6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27" w:rsidRDefault="00AF0827" w:rsidP="00CE53DA">
      <w:pPr>
        <w:spacing w:after="0" w:line="240" w:lineRule="auto"/>
      </w:pPr>
      <w:r>
        <w:separator/>
      </w:r>
    </w:p>
  </w:endnote>
  <w:endnote w:type="continuationSeparator" w:id="0">
    <w:p w:rsidR="00AF0827" w:rsidRDefault="00AF0827" w:rsidP="00CE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27" w:rsidRDefault="00AF0827" w:rsidP="00CE53DA">
      <w:pPr>
        <w:spacing w:after="0" w:line="240" w:lineRule="auto"/>
      </w:pPr>
      <w:r>
        <w:separator/>
      </w:r>
    </w:p>
  </w:footnote>
  <w:footnote w:type="continuationSeparator" w:id="0">
    <w:p w:rsidR="00AF0827" w:rsidRDefault="00AF0827" w:rsidP="00CE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0615DF"/>
    <w:multiLevelType w:val="singleLevel"/>
    <w:tmpl w:val="A70615DF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8245CA"/>
    <w:multiLevelType w:val="singleLevel"/>
    <w:tmpl w:val="DB8245CA"/>
    <w:lvl w:ilvl="0">
      <w:start w:val="3"/>
      <w:numFmt w:val="decimal"/>
      <w:suff w:val="nothing"/>
      <w:lvlText w:val="%1、"/>
      <w:lvlJc w:val="left"/>
    </w:lvl>
  </w:abstractNum>
  <w:abstractNum w:abstractNumId="2">
    <w:nsid w:val="E1812DED"/>
    <w:multiLevelType w:val="singleLevel"/>
    <w:tmpl w:val="E1812DED"/>
    <w:lvl w:ilvl="0">
      <w:start w:val="1"/>
      <w:numFmt w:val="decimal"/>
      <w:suff w:val="space"/>
      <w:lvlText w:val="%1、"/>
      <w:lvlJc w:val="left"/>
      <w:pPr>
        <w:ind w:left="960" w:firstLine="0"/>
      </w:pPr>
    </w:lvl>
  </w:abstractNum>
  <w:abstractNum w:abstractNumId="3">
    <w:nsid w:val="1D7C2DB4"/>
    <w:multiLevelType w:val="singleLevel"/>
    <w:tmpl w:val="1D7C2DB4"/>
    <w:lvl w:ilvl="0">
      <w:start w:val="1"/>
      <w:numFmt w:val="decimal"/>
      <w:suff w:val="space"/>
      <w:lvlText w:val="（%1）"/>
      <w:lvlJc w:val="left"/>
    </w:lvl>
  </w:abstractNum>
  <w:abstractNum w:abstractNumId="4">
    <w:nsid w:val="39D1CF5D"/>
    <w:multiLevelType w:val="singleLevel"/>
    <w:tmpl w:val="39D1CF5D"/>
    <w:lvl w:ilvl="0">
      <w:start w:val="2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abstractNum w:abstractNumId="5">
    <w:nsid w:val="46D3562E"/>
    <w:multiLevelType w:val="multilevel"/>
    <w:tmpl w:val="46D3562E"/>
    <w:lvl w:ilvl="0">
      <w:start w:val="4"/>
      <w:numFmt w:val="japaneseCounting"/>
      <w:lvlText w:val="%1、"/>
      <w:lvlJc w:val="left"/>
      <w:pPr>
        <w:ind w:left="147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6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9F5801A"/>
    <w:multiLevelType w:val="singleLevel"/>
    <w:tmpl w:val="59F5801A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9F6E448"/>
    <w:multiLevelType w:val="singleLevel"/>
    <w:tmpl w:val="59F6E448"/>
    <w:lvl w:ilvl="0">
      <w:start w:val="3"/>
      <w:numFmt w:val="chineseCounting"/>
      <w:suff w:val="nothing"/>
      <w:lvlText w:val="第%1部"/>
      <w:lvlJc w:val="left"/>
    </w:lvl>
  </w:abstractNum>
  <w:abstractNum w:abstractNumId="10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F05517"/>
    <w:rsid w:val="002502BB"/>
    <w:rsid w:val="002545B8"/>
    <w:rsid w:val="00695166"/>
    <w:rsid w:val="0086162A"/>
    <w:rsid w:val="00870085"/>
    <w:rsid w:val="008A1CF2"/>
    <w:rsid w:val="008E25CD"/>
    <w:rsid w:val="00AF0827"/>
    <w:rsid w:val="00B526C7"/>
    <w:rsid w:val="00B674FB"/>
    <w:rsid w:val="00CE53DA"/>
    <w:rsid w:val="01E72150"/>
    <w:rsid w:val="046207DC"/>
    <w:rsid w:val="05F05517"/>
    <w:rsid w:val="06BF7722"/>
    <w:rsid w:val="0AD74B6B"/>
    <w:rsid w:val="167D435C"/>
    <w:rsid w:val="198A766E"/>
    <w:rsid w:val="1A7E3546"/>
    <w:rsid w:val="1ADD46C2"/>
    <w:rsid w:val="1FC73598"/>
    <w:rsid w:val="22E30DC4"/>
    <w:rsid w:val="280A03B7"/>
    <w:rsid w:val="2BCD05D7"/>
    <w:rsid w:val="301F5559"/>
    <w:rsid w:val="33605BD3"/>
    <w:rsid w:val="349A1EF0"/>
    <w:rsid w:val="3CA2252D"/>
    <w:rsid w:val="3EEF6D71"/>
    <w:rsid w:val="429658EE"/>
    <w:rsid w:val="453E32CA"/>
    <w:rsid w:val="4959393D"/>
    <w:rsid w:val="52E223AC"/>
    <w:rsid w:val="538E7582"/>
    <w:rsid w:val="5F047DE0"/>
    <w:rsid w:val="60286997"/>
    <w:rsid w:val="61870D3E"/>
    <w:rsid w:val="65AD7CC7"/>
    <w:rsid w:val="68232126"/>
    <w:rsid w:val="69D63461"/>
    <w:rsid w:val="6C6C1998"/>
    <w:rsid w:val="6C6F4507"/>
    <w:rsid w:val="6DC80F1D"/>
    <w:rsid w:val="71AC53DB"/>
    <w:rsid w:val="795A22EC"/>
    <w:rsid w:val="79970590"/>
    <w:rsid w:val="79F6640E"/>
    <w:rsid w:val="7FD7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4F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74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B674FB"/>
    <w:pPr>
      <w:ind w:firstLineChars="200" w:firstLine="420"/>
    </w:pPr>
  </w:style>
  <w:style w:type="paragraph" w:styleId="a4">
    <w:name w:val="header"/>
    <w:basedOn w:val="a"/>
    <w:link w:val="Char"/>
    <w:rsid w:val="00CE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3D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footer"/>
    <w:basedOn w:val="a"/>
    <w:link w:val="Char0"/>
    <w:rsid w:val="00CE53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3D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Balloon Text"/>
    <w:basedOn w:val="a"/>
    <w:link w:val="Char1"/>
    <w:rsid w:val="00CE53D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CE53D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Normal (Web)"/>
    <w:basedOn w:val="a"/>
    <w:qFormat/>
    <w:rsid w:val="00CE53DA"/>
    <w:pPr>
      <w:spacing w:beforeAutospacing="1" w:after="0" w:afterAutospacing="1" w:line="240" w:lineRule="auto"/>
    </w:pPr>
    <w:rPr>
      <w:rFonts w:eastAsiaTheme="minorEastAs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4">
    <w:name w:val="header"/>
    <w:basedOn w:val="a"/>
    <w:link w:val="Char"/>
    <w:rsid w:val="00CE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3D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footer"/>
    <w:basedOn w:val="a"/>
    <w:link w:val="Char0"/>
    <w:rsid w:val="00CE53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3D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Balloon Text"/>
    <w:basedOn w:val="a"/>
    <w:link w:val="Char1"/>
    <w:rsid w:val="00CE53D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CE53D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Normal (Web)"/>
    <w:basedOn w:val="a"/>
    <w:qFormat/>
    <w:rsid w:val="00CE53DA"/>
    <w:pPr>
      <w:spacing w:beforeAutospacing="1" w:after="0" w:afterAutospacing="1" w:line="240" w:lineRule="auto"/>
    </w:pPr>
    <w:rPr>
      <w:rFonts w:eastAsiaTheme="minorEastAs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836</Words>
  <Characters>4769</Characters>
  <Application>Microsoft Office Word</Application>
  <DocSecurity>0</DocSecurity>
  <Lines>39</Lines>
  <Paragraphs>11</Paragraphs>
  <ScaleCrop>false</ScaleCrop>
  <Company>微软中国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2018-10-26T01:24:00Z</cp:lastPrinted>
  <dcterms:created xsi:type="dcterms:W3CDTF">2018-10-23T07:11:00Z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