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3" w:rsidRDefault="002578F3">
      <w:pPr>
        <w:spacing w:before="7" w:after="0" w:line="120" w:lineRule="exact"/>
        <w:rPr>
          <w:sz w:val="12"/>
          <w:szCs w:val="12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325544">
      <w:pPr>
        <w:spacing w:after="0" w:line="826" w:lineRule="exact"/>
        <w:ind w:left="1228" w:right="1208"/>
        <w:jc w:val="center"/>
        <w:rPr>
          <w:rFonts w:asciiTheme="majorEastAsia" w:eastAsiaTheme="majorEastAsia" w:hAnsiTheme="majorEastAsia" w:cs="微软雅黑"/>
          <w:sz w:val="72"/>
          <w:szCs w:val="72"/>
          <w:lang w:eastAsia="zh-CN"/>
        </w:rPr>
      </w:pPr>
      <w:r w:rsidRPr="0009643E">
        <w:rPr>
          <w:rFonts w:asciiTheme="majorEastAsia" w:eastAsiaTheme="majorEastAsia" w:hAnsiTheme="majorEastAsia" w:cs="微软雅黑"/>
          <w:w w:val="85"/>
          <w:position w:val="2"/>
          <w:sz w:val="72"/>
          <w:szCs w:val="72"/>
          <w:lang w:eastAsia="zh-CN"/>
        </w:rPr>
        <w:t>201</w:t>
      </w:r>
      <w:r w:rsidR="00533241">
        <w:rPr>
          <w:rFonts w:asciiTheme="majorEastAsia" w:eastAsiaTheme="majorEastAsia" w:hAnsiTheme="majorEastAsia" w:cs="微软雅黑" w:hint="eastAsia"/>
          <w:w w:val="85"/>
          <w:position w:val="2"/>
          <w:sz w:val="72"/>
          <w:szCs w:val="72"/>
          <w:lang w:eastAsia="zh-CN"/>
        </w:rPr>
        <w:t>7</w:t>
      </w:r>
      <w:r w:rsidRPr="0009643E">
        <w:rPr>
          <w:rFonts w:asciiTheme="majorEastAsia" w:eastAsiaTheme="majorEastAsia" w:hAnsiTheme="majorEastAsia" w:cs="微软雅黑"/>
          <w:position w:val="2"/>
          <w:sz w:val="72"/>
          <w:szCs w:val="72"/>
          <w:lang w:eastAsia="zh-CN"/>
        </w:rPr>
        <w:t>年度部门决算</w:t>
      </w:r>
      <w:r w:rsidRPr="0009643E">
        <w:rPr>
          <w:rFonts w:asciiTheme="majorEastAsia" w:eastAsiaTheme="majorEastAsia" w:hAnsiTheme="majorEastAsia" w:cs="微软雅黑" w:hint="eastAsia"/>
          <w:position w:val="2"/>
          <w:sz w:val="72"/>
          <w:szCs w:val="72"/>
          <w:lang w:eastAsia="zh-CN"/>
        </w:rPr>
        <w:t>公开</w:t>
      </w:r>
    </w:p>
    <w:p w:rsidR="002578F3" w:rsidRPr="0009643E" w:rsidRDefault="002578F3">
      <w:pPr>
        <w:spacing w:before="7" w:after="0" w:line="140" w:lineRule="exact"/>
        <w:rPr>
          <w:rFonts w:asciiTheme="majorEastAsia" w:eastAsiaTheme="majorEastAsia" w:hAnsiTheme="majorEastAsia"/>
          <w:sz w:val="14"/>
          <w:szCs w:val="14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ind w:left="1800" w:right="1778"/>
        <w:jc w:val="center"/>
        <w:rPr>
          <w:rFonts w:asciiTheme="majorEastAsia" w:eastAsiaTheme="majorEastAsia" w:hAnsiTheme="majorEastAsia" w:cs="楷体_GB2312"/>
          <w:sz w:val="44"/>
          <w:szCs w:val="44"/>
          <w:lang w:eastAsia="zh-CN"/>
        </w:rPr>
      </w:pPr>
      <w:r w:rsidRPr="0009643E">
        <w:rPr>
          <w:rFonts w:asciiTheme="majorEastAsia" w:eastAsiaTheme="majorEastAsia" w:hAnsiTheme="majorEastAsia" w:cs="楷体_GB2312" w:hint="eastAsia"/>
          <w:sz w:val="44"/>
          <w:szCs w:val="44"/>
          <w:lang w:eastAsia="zh-CN"/>
        </w:rPr>
        <w:t>南宫市北胡街道办事处社区卫生服务中心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ind w:left="2147" w:right="2126"/>
        <w:jc w:val="center"/>
        <w:rPr>
          <w:rFonts w:asciiTheme="majorEastAsia" w:eastAsiaTheme="majorEastAsia" w:hAnsiTheme="majorEastAsia" w:cs="楷体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南宫市北胡街道办事处社区卫生服务中心编制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spacing w:after="0" w:line="240" w:lineRule="auto"/>
        <w:ind w:right="3369" w:firstLineChars="1000" w:firstLine="3200"/>
        <w:rPr>
          <w:rFonts w:asciiTheme="majorEastAsia" w:eastAsiaTheme="majorEastAsia" w:hAnsiTheme="majorEastAsia" w:cs="楷体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楷体_GB2312"/>
          <w:sz w:val="32"/>
          <w:szCs w:val="32"/>
          <w:lang w:eastAsia="zh-CN"/>
        </w:rPr>
        <w:t>201</w:t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8</w:t>
      </w:r>
      <w:r w:rsidRPr="0009643E">
        <w:rPr>
          <w:rFonts w:asciiTheme="majorEastAsia" w:eastAsiaTheme="majorEastAsia" w:hAnsiTheme="majorEastAsia" w:cs="楷体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楷体_GB2312"/>
          <w:sz w:val="32"/>
          <w:szCs w:val="32"/>
          <w:lang w:eastAsia="zh-CN"/>
        </w:rPr>
        <w:t>年</w:t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10</w:t>
      </w:r>
      <w:r w:rsidRPr="0009643E">
        <w:rPr>
          <w:rFonts w:asciiTheme="majorEastAsia" w:eastAsiaTheme="majorEastAsia" w:hAnsiTheme="majorEastAsia" w:cs="楷体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楷体_GB2312"/>
          <w:sz w:val="32"/>
          <w:szCs w:val="32"/>
          <w:lang w:eastAsia="zh-CN"/>
        </w:rPr>
        <w:t>月</w:t>
      </w:r>
    </w:p>
    <w:p w:rsidR="002578F3" w:rsidRPr="0009643E" w:rsidRDefault="002578F3">
      <w:pPr>
        <w:spacing w:after="0" w:line="240" w:lineRule="auto"/>
        <w:jc w:val="center"/>
        <w:rPr>
          <w:rFonts w:asciiTheme="majorEastAsia" w:eastAsiaTheme="majorEastAsia" w:hAnsiTheme="majorEastAsia" w:cs="楷体_GB2312"/>
          <w:sz w:val="32"/>
          <w:szCs w:val="32"/>
          <w:lang w:eastAsia="zh-CN"/>
        </w:rPr>
        <w:sectPr w:rsidR="002578F3" w:rsidRPr="0009643E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2578F3" w:rsidRPr="0009643E" w:rsidRDefault="00325544">
      <w:pPr>
        <w:tabs>
          <w:tab w:val="left" w:pos="4740"/>
        </w:tabs>
        <w:spacing w:after="0" w:line="528" w:lineRule="exact"/>
        <w:ind w:right="3699" w:firstLineChars="800" w:firstLine="3520"/>
        <w:jc w:val="both"/>
        <w:rPr>
          <w:rFonts w:asciiTheme="majorEastAsia" w:eastAsiaTheme="majorEastAsia" w:hAnsiTheme="majorEastAsia" w:cs="微软雅黑"/>
          <w:sz w:val="44"/>
          <w:szCs w:val="44"/>
          <w:lang w:eastAsia="zh-CN"/>
        </w:rPr>
      </w:pPr>
      <w:r w:rsidRPr="0009643E">
        <w:rPr>
          <w:rFonts w:asciiTheme="majorEastAsia" w:eastAsiaTheme="majorEastAsia" w:hAnsiTheme="majorEastAsia" w:cs="微软雅黑"/>
          <w:position w:val="1"/>
          <w:sz w:val="44"/>
          <w:szCs w:val="44"/>
          <w:lang w:eastAsia="zh-CN"/>
        </w:rPr>
        <w:lastRenderedPageBreak/>
        <w:t>目</w:t>
      </w:r>
      <w:r w:rsidRPr="0009643E">
        <w:rPr>
          <w:rFonts w:asciiTheme="majorEastAsia" w:eastAsiaTheme="majorEastAsia" w:hAnsiTheme="majorEastAsia" w:cs="微软雅黑"/>
          <w:position w:val="1"/>
          <w:sz w:val="44"/>
          <w:szCs w:val="44"/>
          <w:lang w:eastAsia="zh-CN"/>
        </w:rPr>
        <w:tab/>
        <w:t>录</w:t>
      </w:r>
    </w:p>
    <w:p w:rsidR="002578F3" w:rsidRPr="0009643E" w:rsidRDefault="002578F3">
      <w:pPr>
        <w:spacing w:before="4" w:after="0" w:line="170" w:lineRule="exact"/>
        <w:rPr>
          <w:rFonts w:asciiTheme="majorEastAsia" w:eastAsiaTheme="majorEastAsia" w:hAnsiTheme="majorEastAsia"/>
          <w:sz w:val="17"/>
          <w:szCs w:val="17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325544">
      <w:pPr>
        <w:tabs>
          <w:tab w:val="left" w:pos="1700"/>
        </w:tabs>
        <w:spacing w:after="0" w:line="240" w:lineRule="auto"/>
        <w:ind w:left="114" w:right="-20"/>
        <w:rPr>
          <w:rFonts w:asciiTheme="majorEastAsia" w:eastAsiaTheme="majorEastAsia" w:hAnsiTheme="majorEastAsia" w:cs="黑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第一部分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ab/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概况</w:t>
      </w:r>
    </w:p>
    <w:p w:rsidR="002578F3" w:rsidRPr="0009643E" w:rsidRDefault="002578F3">
      <w:pPr>
        <w:spacing w:before="3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spacing w:after="0" w:line="318" w:lineRule="auto"/>
        <w:ind w:left="753" w:right="4977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一、部门职责 </w:t>
      </w:r>
    </w:p>
    <w:p w:rsidR="002578F3" w:rsidRPr="0009643E" w:rsidRDefault="00325544">
      <w:pPr>
        <w:spacing w:after="0" w:line="318" w:lineRule="auto"/>
        <w:ind w:left="753" w:right="4977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二、部门决算单位构成</w:t>
      </w:r>
    </w:p>
    <w:p w:rsidR="002578F3" w:rsidRPr="0009643E" w:rsidRDefault="00325544">
      <w:pPr>
        <w:tabs>
          <w:tab w:val="left" w:pos="1700"/>
        </w:tabs>
        <w:spacing w:before="50" w:after="0" w:line="240" w:lineRule="auto"/>
        <w:ind w:leftChars="52" w:left="754" w:right="-20" w:hangingChars="200" w:hanging="640"/>
        <w:rPr>
          <w:rFonts w:asciiTheme="majorEastAsia" w:eastAsiaTheme="majorEastAsia" w:hAnsiTheme="majorEastAsia" w:cs="黑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第二部分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ab/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黑体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黑体" w:hint="eastAsia"/>
          <w:sz w:val="32"/>
          <w:szCs w:val="32"/>
          <w:lang w:eastAsia="zh-CN"/>
        </w:rPr>
        <w:t>2017</w:t>
      </w:r>
      <w:r w:rsidRPr="0009643E">
        <w:rPr>
          <w:rFonts w:asciiTheme="majorEastAsia" w:eastAsiaTheme="majorEastAsia" w:hAnsiTheme="majorEastAsia" w:cs="黑体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年度部门决算报表</w:t>
      </w:r>
    </w:p>
    <w:p w:rsidR="002578F3" w:rsidRPr="0009643E" w:rsidRDefault="002578F3">
      <w:pPr>
        <w:spacing w:before="3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numPr>
          <w:ilvl w:val="0"/>
          <w:numId w:val="1"/>
        </w:numPr>
        <w:spacing w:after="0" w:line="318" w:lineRule="auto"/>
        <w:ind w:left="753" w:right="4977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收入支出决算总表 二、收入决算表 </w:t>
      </w:r>
    </w:p>
    <w:p w:rsidR="002578F3" w:rsidRPr="0009643E" w:rsidRDefault="00325544">
      <w:pPr>
        <w:spacing w:after="0" w:line="318" w:lineRule="auto"/>
        <w:ind w:right="4977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 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三、支出决算表</w:t>
      </w:r>
      <w:proofErr w:type="spellEnd"/>
    </w:p>
    <w:p w:rsidR="002578F3" w:rsidRPr="0009643E" w:rsidRDefault="00325544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财政拨款收入支出决算总表 </w:t>
      </w:r>
    </w:p>
    <w:p w:rsidR="002578F3" w:rsidRPr="0009643E" w:rsidRDefault="00325544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一般公共预算财政拨款支出决算表 </w:t>
      </w:r>
    </w:p>
    <w:p w:rsidR="002578F3" w:rsidRPr="0009643E" w:rsidRDefault="00325544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一般公共预算财政拨款基本支出决算经济分类表 七、政府性基金预算财政拨款收入支出决算表 </w:t>
      </w:r>
    </w:p>
    <w:p w:rsidR="002578F3" w:rsidRPr="0009643E" w:rsidRDefault="00325544">
      <w:pPr>
        <w:spacing w:before="48" w:after="0" w:line="318" w:lineRule="auto"/>
        <w:ind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八、国有资本经营预算财政拨款收入支出决算表 </w:t>
      </w:r>
    </w:p>
    <w:p w:rsidR="002578F3" w:rsidRPr="0009643E" w:rsidRDefault="00325544">
      <w:pPr>
        <w:spacing w:before="48" w:after="0" w:line="318" w:lineRule="auto"/>
        <w:ind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九</w:t>
      </w:r>
      <w:r w:rsidRPr="0009643E">
        <w:rPr>
          <w:rFonts w:asciiTheme="majorEastAsia" w:eastAsiaTheme="majorEastAsia" w:hAnsiTheme="majorEastAsia" w:cs="仿宋_GB2312"/>
          <w:spacing w:val="-161"/>
          <w:sz w:val="32"/>
          <w:szCs w:val="32"/>
          <w:lang w:eastAsia="zh-CN"/>
        </w:rPr>
        <w:t>、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“三公”经费等相关信息统计表 </w:t>
      </w:r>
    </w:p>
    <w:p w:rsidR="002578F3" w:rsidRPr="0009643E" w:rsidRDefault="00325544">
      <w:pPr>
        <w:spacing w:before="48" w:after="0" w:line="318" w:lineRule="auto"/>
        <w:ind w:right="819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十、政府采购情况表</w:t>
      </w:r>
    </w:p>
    <w:p w:rsidR="002578F3" w:rsidRPr="0009643E" w:rsidRDefault="00325544">
      <w:pPr>
        <w:tabs>
          <w:tab w:val="left" w:pos="1700"/>
        </w:tabs>
        <w:spacing w:before="50" w:after="0" w:line="240" w:lineRule="auto"/>
        <w:ind w:leftChars="52" w:left="594" w:right="-20" w:hangingChars="150" w:hanging="480"/>
        <w:rPr>
          <w:rFonts w:asciiTheme="majorEastAsia" w:eastAsiaTheme="majorEastAsia" w:hAnsiTheme="majorEastAsia" w:cs="黑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第三部分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ab/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黑体" w:hint="eastAsia"/>
          <w:sz w:val="32"/>
          <w:szCs w:val="32"/>
          <w:lang w:eastAsia="zh-CN"/>
        </w:rPr>
        <w:t>2017</w:t>
      </w:r>
      <w:r w:rsidRPr="0009643E">
        <w:rPr>
          <w:rFonts w:asciiTheme="majorEastAsia" w:eastAsiaTheme="majorEastAsia" w:hAnsiTheme="majorEastAsia" w:cs="黑体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年部门决算情况说明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收入支出决算总体情况说明 </w:t>
      </w:r>
    </w:p>
    <w:p w:rsidR="002578F3" w:rsidRPr="0009643E" w:rsidRDefault="00325544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收入决算情况说明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支出决算情况说明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财政拨款收入支出决算总体情况说明 五</w:t>
      </w:r>
      <w:r w:rsidRPr="0009643E">
        <w:rPr>
          <w:rFonts w:asciiTheme="majorEastAsia" w:eastAsiaTheme="majorEastAsia" w:hAnsiTheme="majorEastAsia" w:cs="仿宋_GB2312"/>
          <w:spacing w:val="-161"/>
          <w:sz w:val="32"/>
          <w:szCs w:val="32"/>
          <w:lang w:eastAsia="zh-CN"/>
        </w:rPr>
        <w:t>、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“三公”经费支出决算情况说明</w:t>
      </w:r>
    </w:p>
    <w:p w:rsidR="002578F3" w:rsidRPr="0009643E" w:rsidRDefault="002578F3">
      <w:pPr>
        <w:spacing w:after="0" w:line="318" w:lineRule="auto"/>
        <w:rPr>
          <w:rFonts w:asciiTheme="majorEastAsia" w:eastAsiaTheme="majorEastAsia" w:hAnsiTheme="majorEastAsia" w:cs="仿宋_GB2312"/>
          <w:sz w:val="32"/>
          <w:szCs w:val="32"/>
          <w:lang w:eastAsia="zh-CN"/>
        </w:rPr>
        <w:sectPr w:rsidR="002578F3" w:rsidRPr="0009643E">
          <w:pgSz w:w="11920" w:h="16840"/>
          <w:pgMar w:top="1580" w:right="1520" w:bottom="280" w:left="1360" w:header="720" w:footer="720" w:gutter="0"/>
          <w:cols w:space="720"/>
        </w:sectPr>
      </w:pPr>
    </w:p>
    <w:p w:rsidR="002578F3" w:rsidRPr="0009643E" w:rsidRDefault="00325544">
      <w:pPr>
        <w:spacing w:before="8" w:after="0" w:line="318" w:lineRule="auto"/>
        <w:ind w:left="759" w:right="2892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lastRenderedPageBreak/>
        <w:t>六、预算绩效管理工作开展情况说明 七、其他重要事项的说明</w:t>
      </w:r>
    </w:p>
    <w:p w:rsidR="002578F3" w:rsidRPr="0009643E" w:rsidRDefault="00325544">
      <w:pPr>
        <w:spacing w:before="50" w:after="0" w:line="240" w:lineRule="auto"/>
        <w:ind w:left="1399" w:right="-2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1、机关运行经费情况</w:t>
      </w:r>
    </w:p>
    <w:p w:rsidR="002578F3" w:rsidRPr="0009643E" w:rsidRDefault="002578F3">
      <w:pPr>
        <w:spacing w:before="3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spacing w:after="0" w:line="240" w:lineRule="auto"/>
        <w:ind w:left="1399" w:right="-2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2、政府采购情况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spacing w:after="0" w:line="240" w:lineRule="auto"/>
        <w:ind w:left="1399" w:right="-2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3、国有资产占用情况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spacing w:after="0" w:line="240" w:lineRule="auto"/>
        <w:ind w:left="1399" w:right="-2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4、其他需要说明的情况</w:t>
      </w:r>
    </w:p>
    <w:p w:rsidR="002578F3" w:rsidRPr="0009643E" w:rsidRDefault="002578F3">
      <w:pPr>
        <w:spacing w:before="3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numPr>
          <w:ilvl w:val="0"/>
          <w:numId w:val="4"/>
        </w:numPr>
        <w:tabs>
          <w:tab w:val="left" w:pos="1700"/>
        </w:tabs>
        <w:spacing w:after="0" w:line="323" w:lineRule="auto"/>
        <w:ind w:left="753" w:right="5459" w:hanging="640"/>
        <w:rPr>
          <w:rFonts w:asciiTheme="majorEastAsia" w:eastAsiaTheme="majorEastAsia" w:hAnsiTheme="majorEastAsia" w:cs="黑体"/>
          <w:sz w:val="32"/>
          <w:szCs w:val="32"/>
        </w:rPr>
      </w:pPr>
      <w:r w:rsidRPr="0009643E">
        <w:rPr>
          <w:rFonts w:asciiTheme="majorEastAsia" w:eastAsiaTheme="majorEastAsia" w:hAnsiTheme="majorEastAsia" w:cs="黑体"/>
          <w:sz w:val="32"/>
          <w:szCs w:val="32"/>
        </w:rPr>
        <w:t>分</w:t>
      </w:r>
      <w:r w:rsidRPr="0009643E">
        <w:rPr>
          <w:rFonts w:asciiTheme="majorEastAsia" w:eastAsiaTheme="majorEastAsia" w:hAnsiTheme="majorEastAsia" w:cs="黑体"/>
          <w:sz w:val="32"/>
          <w:szCs w:val="32"/>
        </w:rPr>
        <w:tab/>
      </w:r>
      <w:proofErr w:type="spellStart"/>
      <w:r w:rsidRPr="0009643E">
        <w:rPr>
          <w:rFonts w:asciiTheme="majorEastAsia" w:eastAsiaTheme="majorEastAsia" w:hAnsiTheme="majorEastAsia" w:cs="黑体"/>
          <w:sz w:val="32"/>
          <w:szCs w:val="32"/>
        </w:rPr>
        <w:t>名词解释</w:t>
      </w:r>
      <w:proofErr w:type="spellEnd"/>
      <w:r w:rsidRPr="0009643E">
        <w:rPr>
          <w:rFonts w:asciiTheme="majorEastAsia" w:eastAsiaTheme="majorEastAsia" w:hAnsiTheme="majorEastAsia" w:cs="黑体"/>
          <w:sz w:val="32"/>
          <w:szCs w:val="32"/>
        </w:rPr>
        <w:t xml:space="preserve"> </w:t>
      </w:r>
    </w:p>
    <w:p w:rsidR="002578F3" w:rsidRPr="0009643E" w:rsidRDefault="00325544">
      <w:pPr>
        <w:tabs>
          <w:tab w:val="left" w:pos="1700"/>
        </w:tabs>
        <w:spacing w:after="0" w:line="323" w:lineRule="auto"/>
        <w:ind w:right="5459"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一、部门决算</w:t>
      </w:r>
      <w:proofErr w:type="spellEnd"/>
    </w:p>
    <w:p w:rsidR="002578F3" w:rsidRPr="0009643E" w:rsidRDefault="00325544">
      <w:pPr>
        <w:tabs>
          <w:tab w:val="left" w:pos="1700"/>
        </w:tabs>
        <w:spacing w:after="0" w:line="323" w:lineRule="auto"/>
        <w:ind w:right="5459"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二、财政拨款入</w:t>
      </w:r>
      <w:proofErr w:type="spellEnd"/>
    </w:p>
    <w:p w:rsidR="002578F3" w:rsidRPr="0009643E" w:rsidRDefault="00325544">
      <w:pPr>
        <w:tabs>
          <w:tab w:val="left" w:pos="1700"/>
        </w:tabs>
        <w:spacing w:after="0" w:line="323" w:lineRule="auto"/>
        <w:ind w:left="753" w:right="5459" w:hanging="640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三、其他收入</w:t>
      </w:r>
      <w:proofErr w:type="spellEnd"/>
    </w:p>
    <w:p w:rsidR="002578F3" w:rsidRPr="0009643E" w:rsidRDefault="00325544">
      <w:pPr>
        <w:spacing w:before="17" w:after="0" w:line="299" w:lineRule="auto"/>
        <w:ind w:right="4817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四、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年初结转和结余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spacing w:before="17" w:after="0" w:line="299" w:lineRule="auto"/>
        <w:ind w:right="4817"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五、年末结转和结余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spacing w:before="17" w:after="0" w:line="299" w:lineRule="auto"/>
        <w:ind w:right="4817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六、基本支出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spacing w:before="17" w:after="0" w:line="299" w:lineRule="auto"/>
        <w:ind w:right="4817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七、“三公”经费</w:t>
      </w:r>
      <w:proofErr w:type="spellEnd"/>
    </w:p>
    <w:p w:rsidR="002578F3" w:rsidRPr="0009643E" w:rsidRDefault="00325544">
      <w:pPr>
        <w:spacing w:before="17" w:after="0" w:line="299" w:lineRule="auto"/>
        <w:ind w:right="4817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八、机关运行经费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</w:t>
      </w:r>
    </w:p>
    <w:p w:rsidR="002578F3" w:rsidRPr="0009643E" w:rsidRDefault="00325544">
      <w:pPr>
        <w:spacing w:before="17" w:after="0" w:line="299" w:lineRule="auto"/>
        <w:ind w:right="4817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</w:t>
      </w: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九、一般公共服务支出</w:t>
      </w:r>
      <w:proofErr w:type="spellEnd"/>
    </w:p>
    <w:p w:rsidR="002578F3" w:rsidRPr="0009643E" w:rsidRDefault="00325544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其他交通费</w:t>
      </w:r>
      <w:proofErr w:type="spellEnd"/>
      <w:r w:rsidRPr="0009643E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2578F3" w:rsidRPr="0009643E" w:rsidRDefault="00325544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/>
          <w:sz w:val="32"/>
          <w:szCs w:val="32"/>
        </w:rPr>
        <w:t>社会保障和就业支出</w:t>
      </w:r>
      <w:proofErr w:type="spellEnd"/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2578F3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</w:rPr>
      </w:pPr>
    </w:p>
    <w:p w:rsidR="002578F3" w:rsidRPr="0009643E" w:rsidRDefault="00325544">
      <w:pPr>
        <w:tabs>
          <w:tab w:val="left" w:pos="1846"/>
        </w:tabs>
        <w:spacing w:after="0" w:line="528" w:lineRule="exact"/>
        <w:ind w:right="-20"/>
        <w:rPr>
          <w:rFonts w:asciiTheme="majorEastAsia" w:eastAsiaTheme="majorEastAsia" w:hAnsiTheme="majorEastAsia" w:cs="微软雅黑"/>
          <w:sz w:val="36"/>
          <w:szCs w:val="36"/>
          <w:lang w:eastAsia="zh-CN"/>
        </w:rPr>
      </w:pPr>
      <w:r w:rsidRPr="0009643E"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  <w:lang w:eastAsia="zh-CN"/>
        </w:rPr>
        <w:lastRenderedPageBreak/>
        <w:t>第一部</w:t>
      </w:r>
      <w:r w:rsidRPr="0009643E">
        <w:rPr>
          <w:rFonts w:asciiTheme="majorEastAsia" w:eastAsiaTheme="majorEastAsia" w:hAnsiTheme="majorEastAsia" w:cs="微软雅黑"/>
          <w:position w:val="1"/>
          <w:sz w:val="36"/>
          <w:szCs w:val="36"/>
          <w:lang w:eastAsia="zh-CN"/>
        </w:rPr>
        <w:t>分</w:t>
      </w:r>
      <w:r w:rsidRPr="0009643E">
        <w:rPr>
          <w:rFonts w:asciiTheme="majorEastAsia" w:eastAsiaTheme="majorEastAsia" w:hAnsiTheme="majorEastAsia" w:cs="微软雅黑"/>
          <w:position w:val="1"/>
          <w:sz w:val="36"/>
          <w:szCs w:val="36"/>
          <w:lang w:eastAsia="zh-CN"/>
        </w:rPr>
        <w:tab/>
      </w:r>
      <w:r w:rsidRPr="0009643E">
        <w:rPr>
          <w:rFonts w:asciiTheme="majorEastAsia" w:eastAsiaTheme="majorEastAsia" w:hAnsiTheme="majorEastAsia" w:cs="楷体_GB2312" w:hint="eastAsia"/>
          <w:sz w:val="36"/>
          <w:szCs w:val="36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微软雅黑"/>
          <w:spacing w:val="-1"/>
          <w:position w:val="1"/>
          <w:sz w:val="36"/>
          <w:szCs w:val="36"/>
          <w:lang w:eastAsia="zh-CN"/>
        </w:rPr>
        <w:t>概况</w:t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ind w:right="-20" w:firstLineChars="200" w:firstLine="640"/>
        <w:rPr>
          <w:rFonts w:asciiTheme="majorEastAsia" w:eastAsiaTheme="majorEastAsia" w:hAnsiTheme="majorEastAsia" w:cs="黑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一、</w:t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主要职责</w:t>
      </w:r>
    </w:p>
    <w:p w:rsidR="002578F3" w:rsidRPr="0009643E" w:rsidRDefault="002578F3">
      <w:pPr>
        <w:spacing w:before="8" w:after="0" w:line="140" w:lineRule="exact"/>
        <w:rPr>
          <w:rFonts w:asciiTheme="majorEastAsia" w:eastAsiaTheme="majorEastAsia" w:hAnsiTheme="majorEastAsia"/>
          <w:sz w:val="14"/>
          <w:szCs w:val="14"/>
          <w:lang w:eastAsia="zh-CN"/>
        </w:rPr>
      </w:pPr>
    </w:p>
    <w:p w:rsidR="002578F3" w:rsidRPr="0009643E" w:rsidRDefault="00325544">
      <w:pPr>
        <w:spacing w:after="0" w:line="314" w:lineRule="auto"/>
        <w:ind w:left="114" w:right="2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根据《</w:t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仿宋_GB2312"/>
          <w:spacing w:val="-1"/>
          <w:sz w:val="32"/>
          <w:szCs w:val="32"/>
          <w:lang w:eastAsia="zh-CN"/>
        </w:rPr>
        <w:t>职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能配置、内设机构和人员 编制方案》规定，</w:t>
      </w:r>
      <w:r w:rsidRPr="0009643E">
        <w:rPr>
          <w:rFonts w:asciiTheme="majorEastAsia" w:eastAsiaTheme="majorEastAsia" w:hAnsiTheme="majorEastAsia" w:cs="楷体_GB2312" w:hint="eastAsia"/>
          <w:sz w:val="32"/>
          <w:szCs w:val="32"/>
          <w:lang w:eastAsia="zh-CN"/>
        </w:rPr>
        <w:t>南宫市北胡街道办事处社区卫生服务中心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的主要职责是：</w:t>
      </w:r>
    </w:p>
    <w:p w:rsidR="002578F3" w:rsidRPr="0009643E" w:rsidRDefault="00325544">
      <w:pPr>
        <w:widowControl/>
        <w:spacing w:line="5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宋体" w:hint="eastAsia"/>
          <w:sz w:val="32"/>
          <w:szCs w:val="32"/>
          <w:lang w:eastAsia="zh-CN"/>
        </w:rPr>
        <w:t>（1）负责本辖区的卫生工作法律、法规、政策的贯彻，卫生事业发展规划和工作计划的制订，社会公共卫生工作的组织和实施;</w:t>
      </w:r>
    </w:p>
    <w:p w:rsidR="002578F3" w:rsidRPr="0009643E" w:rsidRDefault="00325544">
      <w:pPr>
        <w:widowControl/>
        <w:spacing w:line="5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宋体" w:hint="eastAsia"/>
          <w:sz w:val="32"/>
          <w:szCs w:val="32"/>
          <w:lang w:eastAsia="zh-CN"/>
        </w:rPr>
        <w:t>（2）负责本辖区的基本医疗服务;</w:t>
      </w:r>
    </w:p>
    <w:p w:rsidR="002578F3" w:rsidRPr="0009643E" w:rsidRDefault="00325544">
      <w:pPr>
        <w:widowControl/>
        <w:spacing w:line="5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宋体" w:hint="eastAsia"/>
          <w:sz w:val="32"/>
          <w:szCs w:val="32"/>
          <w:lang w:eastAsia="zh-CN"/>
        </w:rPr>
        <w:t>（3）负责本辖区突发公共卫生事件的报告，并依据上级部门要求组织实施处置;</w:t>
      </w:r>
    </w:p>
    <w:p w:rsidR="002578F3" w:rsidRPr="0009643E" w:rsidRDefault="00325544">
      <w:pPr>
        <w:widowControl/>
        <w:spacing w:line="5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宋体" w:hint="eastAsia"/>
          <w:sz w:val="32"/>
          <w:szCs w:val="32"/>
          <w:lang w:eastAsia="zh-CN"/>
        </w:rPr>
        <w:t>（4）负责本辖区内的卫生信息统计、分析、上报;</w:t>
      </w:r>
    </w:p>
    <w:p w:rsidR="002578F3" w:rsidRPr="0009643E" w:rsidRDefault="00325544">
      <w:pPr>
        <w:snapToGrid w:val="0"/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宋体" w:hint="eastAsia"/>
          <w:sz w:val="32"/>
          <w:szCs w:val="32"/>
          <w:lang w:eastAsia="zh-CN"/>
        </w:rPr>
        <w:t>（5）负责对本辖区内村级卫生组织和乡村医生的业务指导和培训。</w:t>
      </w:r>
    </w:p>
    <w:p w:rsidR="002578F3" w:rsidRPr="0009643E" w:rsidRDefault="00325544">
      <w:pPr>
        <w:spacing w:after="0" w:line="240" w:lineRule="auto"/>
        <w:ind w:right="-20" w:firstLineChars="200" w:firstLine="640"/>
        <w:rPr>
          <w:rFonts w:asciiTheme="majorEastAsia" w:eastAsiaTheme="majorEastAsia" w:hAnsiTheme="majorEastAsia" w:cs="黑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黑体"/>
          <w:sz w:val="32"/>
          <w:szCs w:val="32"/>
          <w:lang w:eastAsia="zh-CN"/>
        </w:rPr>
        <w:t>二、部门决算单位构成:</w:t>
      </w:r>
    </w:p>
    <w:p w:rsidR="002578F3" w:rsidRPr="0009643E" w:rsidRDefault="002578F3">
      <w:pPr>
        <w:spacing w:before="7" w:after="0" w:line="140" w:lineRule="exact"/>
        <w:rPr>
          <w:rFonts w:asciiTheme="majorEastAsia" w:eastAsiaTheme="majorEastAsia" w:hAnsiTheme="majorEastAsia"/>
          <w:sz w:val="14"/>
          <w:szCs w:val="14"/>
          <w:lang w:eastAsia="zh-CN"/>
        </w:rPr>
      </w:pPr>
    </w:p>
    <w:p w:rsidR="002578F3" w:rsidRPr="0009643E" w:rsidRDefault="00325544">
      <w:pPr>
        <w:snapToGrid w:val="0"/>
        <w:spacing w:line="560" w:lineRule="exact"/>
        <w:ind w:firstLineChars="300" w:firstLine="96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hint="eastAsia"/>
          <w:sz w:val="32"/>
          <w:szCs w:val="32"/>
          <w:lang w:eastAsia="zh-CN"/>
        </w:rPr>
        <w:t>2017年南宫市北胡街道办事处社区服务中心为财政补助事业单位，下辖共有 19个村卫生室。2017年度机构情况无变动。</w:t>
      </w:r>
    </w:p>
    <w:p w:rsidR="002578F3" w:rsidRPr="0009643E" w:rsidRDefault="002578F3">
      <w:pPr>
        <w:spacing w:after="0" w:line="240" w:lineRule="auto"/>
        <w:rPr>
          <w:rFonts w:asciiTheme="majorEastAsia" w:eastAsiaTheme="majorEastAsia" w:hAnsiTheme="majorEastAsia" w:cs="仿宋_GB2312"/>
          <w:sz w:val="32"/>
          <w:szCs w:val="32"/>
          <w:lang w:eastAsia="zh-CN"/>
        </w:rPr>
        <w:sectPr w:rsidR="002578F3" w:rsidRPr="0009643E">
          <w:pgSz w:w="11920" w:h="16840"/>
          <w:pgMar w:top="1580" w:right="1200" w:bottom="280" w:left="1360" w:header="720" w:footer="720" w:gutter="0"/>
          <w:cols w:space="720"/>
        </w:sectPr>
      </w:pPr>
    </w:p>
    <w:p w:rsidR="002578F3" w:rsidRPr="0009643E" w:rsidRDefault="002578F3">
      <w:pPr>
        <w:spacing w:before="1" w:after="0" w:line="140" w:lineRule="exact"/>
        <w:rPr>
          <w:rFonts w:asciiTheme="majorEastAsia" w:eastAsiaTheme="majorEastAsia" w:hAnsiTheme="majorEastAsia"/>
          <w:sz w:val="14"/>
          <w:szCs w:val="1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2578F3" w:rsidP="0009643E">
      <w:pPr>
        <w:tabs>
          <w:tab w:val="left" w:pos="3240"/>
        </w:tabs>
        <w:spacing w:after="0" w:line="500" w:lineRule="exact"/>
        <w:ind w:right="-20" w:firstLineChars="300" w:firstLine="1317"/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</w:pPr>
    </w:p>
    <w:p w:rsidR="002578F3" w:rsidRPr="0009643E" w:rsidRDefault="00325544" w:rsidP="0009643E">
      <w:pPr>
        <w:tabs>
          <w:tab w:val="left" w:pos="3240"/>
        </w:tabs>
        <w:spacing w:after="0" w:line="500" w:lineRule="exact"/>
        <w:ind w:right="-20" w:firstLineChars="800" w:firstLine="3512"/>
        <w:rPr>
          <w:rFonts w:asciiTheme="majorEastAsia" w:eastAsiaTheme="majorEastAsia" w:hAnsiTheme="majorEastAsia" w:cs="微软雅黑"/>
          <w:sz w:val="44"/>
          <w:szCs w:val="44"/>
          <w:lang w:eastAsia="zh-CN"/>
        </w:rPr>
      </w:pPr>
      <w:r w:rsidRPr="0009643E"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  <w:t>第二部</w:t>
      </w:r>
      <w:r w:rsidRPr="0009643E">
        <w:rPr>
          <w:rFonts w:asciiTheme="majorEastAsia" w:eastAsiaTheme="majorEastAsia" w:hAnsiTheme="majorEastAsia" w:cs="微软雅黑"/>
          <w:sz w:val="44"/>
          <w:szCs w:val="44"/>
          <w:lang w:eastAsia="zh-CN"/>
        </w:rPr>
        <w:t>分</w:t>
      </w:r>
      <w:r w:rsidRPr="0009643E">
        <w:rPr>
          <w:rFonts w:asciiTheme="majorEastAsia" w:eastAsiaTheme="majorEastAsia" w:hAnsiTheme="majorEastAsia" w:cs="微软雅黑"/>
          <w:sz w:val="28"/>
          <w:szCs w:val="28"/>
          <w:lang w:eastAsia="zh-CN"/>
        </w:rPr>
        <w:tab/>
      </w:r>
      <w:r w:rsidRPr="0009643E">
        <w:rPr>
          <w:rFonts w:asciiTheme="majorEastAsia" w:eastAsiaTheme="majorEastAsia" w:hAnsiTheme="majorEastAsia" w:cs="微软雅黑"/>
          <w:spacing w:val="-20"/>
          <w:sz w:val="44"/>
          <w:szCs w:val="44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微软雅黑"/>
          <w:spacing w:val="-1"/>
          <w:w w:val="84"/>
          <w:sz w:val="44"/>
          <w:szCs w:val="44"/>
          <w:lang w:eastAsia="zh-CN"/>
        </w:rPr>
        <w:t>201</w:t>
      </w:r>
      <w:r w:rsidRPr="0009643E">
        <w:rPr>
          <w:rFonts w:asciiTheme="majorEastAsia" w:eastAsiaTheme="majorEastAsia" w:hAnsiTheme="majorEastAsia" w:cs="微软雅黑" w:hint="eastAsia"/>
          <w:spacing w:val="-1"/>
          <w:w w:val="84"/>
          <w:sz w:val="44"/>
          <w:szCs w:val="44"/>
          <w:lang w:eastAsia="zh-CN"/>
        </w:rPr>
        <w:t>7</w:t>
      </w:r>
      <w:r w:rsidRPr="0009643E">
        <w:rPr>
          <w:rFonts w:asciiTheme="majorEastAsia" w:eastAsiaTheme="majorEastAsia" w:hAnsiTheme="majorEastAsia" w:cs="微软雅黑"/>
          <w:spacing w:val="12"/>
          <w:w w:val="84"/>
          <w:sz w:val="44"/>
          <w:szCs w:val="44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微软雅黑"/>
          <w:spacing w:val="-1"/>
          <w:sz w:val="44"/>
          <w:szCs w:val="44"/>
          <w:lang w:eastAsia="zh-CN"/>
        </w:rPr>
        <w:t>年部门决算报表</w:t>
      </w:r>
    </w:p>
    <w:p w:rsidR="002578F3" w:rsidRPr="0009643E" w:rsidRDefault="002578F3">
      <w:pPr>
        <w:spacing w:before="1" w:after="0" w:line="110" w:lineRule="exact"/>
        <w:rPr>
          <w:rFonts w:asciiTheme="majorEastAsia" w:eastAsiaTheme="majorEastAsia" w:hAnsiTheme="majorEastAsia"/>
          <w:sz w:val="11"/>
          <w:szCs w:val="11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AB3219">
      <w:pPr>
        <w:spacing w:after="0" w:line="240" w:lineRule="auto"/>
        <w:ind w:left="130" w:right="-20"/>
        <w:rPr>
          <w:rFonts w:asciiTheme="majorEastAsia" w:eastAsiaTheme="majorEastAsia" w:hAnsiTheme="majorEastAsia" w:cs="宋体"/>
          <w:sz w:val="14"/>
          <w:szCs w:val="14"/>
          <w:lang w:eastAsia="zh-CN"/>
        </w:rPr>
        <w:sectPr w:rsidR="002578F3" w:rsidRPr="0009643E">
          <w:type w:val="continuous"/>
          <w:pgSz w:w="16840" w:h="11920" w:orient="landscape"/>
          <w:pgMar w:top="1580" w:right="1580" w:bottom="280" w:left="1480" w:header="720" w:footer="720" w:gutter="0"/>
          <w:cols w:space="720"/>
        </w:sectPr>
      </w:pPr>
      <w:r w:rsidRPr="00AB3219">
        <w:rPr>
          <w:rFonts w:asciiTheme="majorEastAsia" w:eastAsiaTheme="majorEastAsia" w:hAnsiTheme="majorEastAsia"/>
          <w:lang w:eastAsia="zh-CN"/>
        </w:rPr>
        <w:pict>
          <v:group id="组合 3" o:spid="_x0000_s1027" style="position:absolute;left:0;text-align:left;margin-left:756.8pt;margin-top:10.55pt;width:1pt;height:11.05pt;z-index:-251656192;mso-position-horizontal-relative:page" coordorigin="15136,211" coordsize="21,222203203" o:gfxdata="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Mevic2QAAAAsBAAAP&#10;AAAAAAAAAAEAIAAAACIAAABkcnMvZG93bnJldi54bWxQSwECFAAUAAAACACHTuJAedlhtvsCAADD&#10;CgAADgAAAAAAAAABACAAAAAoAQAAZHJzL2Uyb0RvYy54bWxQSwUGAAAAAAYABgBZAQAAlQYAAAAA&#10;">
            <v:group id="组合 4" o:spid="_x0000_s1030" style="position:absolute;left:15137;top:220;width:2;height:202" coordorigin="15137,220" coordsize="2,20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<v:shape id="任意多边形 5" o:spid="_x0000_s1026" style="position:absolute;left:15137;top:220;width:2;height:202" coordsize="1,202" o:spt="100" o:gfxdata="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PUzO5AAAA2gAA&#10;AA8AAAAAAAAAAQAgAAAAIgAAAGRycy9kb3ducmV2LnhtbFBLAQIUABQAAAAIAIdO4kAzLwWeOwAA&#10;ADkAAAAQAAAAAAAAAAEAIAAAAAgBAABkcnMvc2hhcGV4bWwueG1sUEsFBgAAAAAGAAYAWwEAALID&#10;AAAAAA==&#10;" adj="0,,0" path="m,l,202e" filled="f" strokecolor="#7f7f7f" strokeweight=".06pt">
                <v:stroke joinstyle="round"/>
                <v:formulas/>
                <v:path o:connecttype="segments"/>
              </v:shape>
            </v:group>
            <v:group id="组合 6" o:spid="_x0000_s1028" style="position:absolute;left:15147;top:221;width:2;height:202" coordorigin="15147,221" coordsize="2,2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<v:shape id="任意多边形 7" o:spid="_x0000_s1029" style="position:absolute;left:15147;top:221;width:2;height:202" coordsize="1,202" o:spt="100" o:gfxdata="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idBmugAAANoA&#10;AAAPAAAAAAAAAAEAIAAAACIAAABkcnMvZG93bnJldi54bWxQSwECFAAUAAAACACHTuJAMy8FnjsA&#10;AAA5AAAAEAAAAAAAAAABACAAAAAJAQAAZHJzL3NoYXBleG1sLnhtbFBLBQYAAAAABgAGAFsBAACz&#10;AwAAAAA=&#10;" adj="0,,0" path="m,l,202e" filled="f" strokecolor="#7f7f7f" strokeweight="1pt">
                <v:stroke joinstyle="round"/>
                <v:formulas/>
                <v:path o:connecttype="segments"/>
              </v:shape>
            </v:group>
            <w10:wrap anchorx="page"/>
          </v:group>
        </w:pict>
      </w:r>
    </w:p>
    <w:p w:rsidR="002578F3" w:rsidRPr="0009643E" w:rsidRDefault="002578F3">
      <w:pPr>
        <w:spacing w:before="96" w:after="0" w:line="240" w:lineRule="auto"/>
        <w:ind w:left="114" w:right="-20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60" w:right="860" w:bottom="280" w:left="104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202420" cy="5837555"/>
            <wp:effectExtent l="0" t="0" r="17780" b="10795"/>
            <wp:docPr id="5" name="图片 5" descr="C:\Documents and Settings\Administrator\桌面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Administrator\桌面\1.png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before="6" w:after="0"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880" w:bottom="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265285" cy="3253105"/>
            <wp:effectExtent l="0" t="0" r="12065" b="4445"/>
            <wp:docPr id="6" name="图片 6" descr="C:\Documents and Settings\Administrator\桌面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桌面\图片1.png图片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528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before="2" w:after="0"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2578F3" w:rsidRPr="0009643E" w:rsidRDefault="00325544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511030" cy="3550920"/>
            <wp:effectExtent l="0" t="0" r="13970" b="11430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0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50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lastRenderedPageBreak/>
        <w:drawing>
          <wp:inline distT="0" distB="0" distL="114300" distR="114300">
            <wp:extent cx="9332595" cy="5462905"/>
            <wp:effectExtent l="0" t="0" r="1905" b="4445"/>
            <wp:docPr id="8" name="图片 8" descr="C:\Documents and Settings\Administrator\桌面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桌面\4.png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2595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before="8" w:after="0" w:line="240" w:lineRule="auto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12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17965" cy="2875280"/>
            <wp:effectExtent l="0" t="0" r="6985" b="1270"/>
            <wp:docPr id="9" name="图片 9" descr="C:\Documents and Settings\Administrator\桌面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Documents and Settings\Administrator\桌面\5.png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796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before="16" w:after="0"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04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458960" cy="5593080"/>
            <wp:effectExtent l="0" t="0" r="8890" b="7620"/>
            <wp:docPr id="10" name="图片 10" descr="C:\Documents and Settings\Administrator\桌面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Documents and Settings\Administrator\桌面\6.png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96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before="5" w:after="0"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02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79560" cy="2289175"/>
            <wp:effectExtent l="0" t="0" r="2540" b="15875"/>
            <wp:docPr id="11" name="图片 11" descr="C:\Documents and Settings\Administrator\桌面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Documents and Settings\Administrator\桌面\7.png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3E">
        <w:rPr>
          <w:rFonts w:asciiTheme="majorEastAsia" w:eastAsiaTheme="majorEastAsia" w:hAnsiTheme="majorEastAsia" w:cs="Times New Roman" w:hint="eastAsia"/>
          <w:sz w:val="20"/>
          <w:szCs w:val="20"/>
          <w:lang w:eastAsia="zh-CN"/>
        </w:rPr>
        <w:t>此表为空表列示</w:t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before="5" w:after="0" w:line="24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12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10345" cy="2713990"/>
            <wp:effectExtent l="0" t="0" r="14605" b="10160"/>
            <wp:docPr id="14" name="图片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34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3E">
        <w:rPr>
          <w:rFonts w:asciiTheme="majorEastAsia" w:eastAsiaTheme="majorEastAsia" w:hAnsiTheme="majorEastAsia" w:cs="Times New Roman" w:hint="eastAsia"/>
          <w:sz w:val="20"/>
          <w:szCs w:val="20"/>
          <w:lang w:eastAsia="zh-CN"/>
        </w:rPr>
        <w:t>此表为空表列示</w:t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2578F3" w:rsidRPr="0009643E" w:rsidRDefault="002578F3">
      <w:pPr>
        <w:spacing w:before="2" w:after="0" w:line="24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578F3" w:rsidRPr="0009643E" w:rsidRDefault="002578F3">
      <w:pPr>
        <w:spacing w:after="0" w:line="240" w:lineRule="auto"/>
        <w:ind w:left="113" w:right="-20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200" w:bottom="280" w:left="136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063355" cy="4403725"/>
            <wp:effectExtent l="0" t="0" r="4445" b="15875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355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3E">
        <w:rPr>
          <w:rFonts w:asciiTheme="majorEastAsia" w:eastAsiaTheme="majorEastAsia" w:hAnsiTheme="majorEastAsia" w:cs="Times New Roman" w:hint="eastAsia"/>
          <w:sz w:val="20"/>
          <w:szCs w:val="20"/>
          <w:lang w:eastAsia="zh-CN"/>
        </w:rPr>
        <w:t>此表为空表列示</w:t>
      </w: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09643E">
        <w:rPr>
          <w:rFonts w:asciiTheme="majorEastAsia" w:eastAsiaTheme="majorEastAsia" w:hAnsiTheme="majorEastAsia" w:hint="eastAsia"/>
          <w:noProof/>
          <w:sz w:val="20"/>
          <w:szCs w:val="20"/>
          <w:lang w:eastAsia="zh-CN"/>
        </w:rPr>
        <w:lastRenderedPageBreak/>
        <w:drawing>
          <wp:inline distT="0" distB="0" distL="114300" distR="114300">
            <wp:extent cx="8860790" cy="3575050"/>
            <wp:effectExtent l="0" t="0" r="16510" b="6350"/>
            <wp:docPr id="19" name="图片 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3" w:rsidRPr="0009643E" w:rsidRDefault="002578F3">
      <w:pPr>
        <w:spacing w:before="8" w:after="0"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2578F3" w:rsidRPr="0009643E" w:rsidRDefault="002578F3">
      <w:pPr>
        <w:spacing w:after="0" w:line="240" w:lineRule="auto"/>
        <w:ind w:left="110" w:right="-20"/>
        <w:rPr>
          <w:rFonts w:asciiTheme="majorEastAsia" w:eastAsiaTheme="majorEastAsia" w:hAnsiTheme="majorEastAsia" w:cs="Times New Roman"/>
          <w:sz w:val="20"/>
          <w:szCs w:val="20"/>
        </w:rPr>
      </w:pPr>
    </w:p>
    <w:p w:rsidR="002578F3" w:rsidRPr="0009643E" w:rsidRDefault="00325544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eastAsia="zh-CN"/>
        </w:rPr>
        <w:sectPr w:rsidR="002578F3" w:rsidRPr="0009643E">
          <w:pgSz w:w="16840" w:h="11920" w:orient="landscape"/>
          <w:pgMar w:top="1080" w:right="1500" w:bottom="280" w:left="1380" w:header="720" w:footer="720" w:gutter="0"/>
          <w:cols w:space="720"/>
        </w:sectPr>
      </w:pPr>
      <w:r w:rsidRPr="0009643E">
        <w:rPr>
          <w:rFonts w:asciiTheme="majorEastAsia" w:eastAsiaTheme="majorEastAsia" w:hAnsiTheme="majorEastAsia" w:cs="Times New Roman" w:hint="eastAsia"/>
          <w:sz w:val="20"/>
          <w:szCs w:val="20"/>
          <w:lang w:eastAsia="zh-CN"/>
        </w:rPr>
        <w:t>此表为空表列示</w:t>
      </w:r>
    </w:p>
    <w:p w:rsidR="002578F3" w:rsidRPr="0009643E" w:rsidRDefault="002578F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2578F3">
      <w:pPr>
        <w:spacing w:before="3"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2578F3" w:rsidRPr="0009643E" w:rsidRDefault="00325544">
      <w:pPr>
        <w:numPr>
          <w:ilvl w:val="0"/>
          <w:numId w:val="6"/>
        </w:numPr>
        <w:tabs>
          <w:tab w:val="left" w:pos="3220"/>
        </w:tabs>
        <w:spacing w:after="0" w:line="528" w:lineRule="exact"/>
        <w:ind w:left="1800" w:right="1161" w:hangingChars="500" w:hanging="1800"/>
        <w:jc w:val="both"/>
        <w:rPr>
          <w:rFonts w:asciiTheme="majorEastAsia" w:eastAsiaTheme="majorEastAsia" w:hAnsiTheme="majorEastAsia" w:cs="微软雅黑"/>
          <w:position w:val="1"/>
          <w:sz w:val="36"/>
          <w:szCs w:val="36"/>
          <w:lang w:eastAsia="zh-CN"/>
        </w:rPr>
      </w:pPr>
      <w:r w:rsidRPr="0009643E">
        <w:rPr>
          <w:rFonts w:asciiTheme="majorEastAsia" w:eastAsiaTheme="majorEastAsia" w:hAnsiTheme="majorEastAsia" w:cs="微软雅黑"/>
          <w:position w:val="1"/>
          <w:sz w:val="36"/>
          <w:szCs w:val="36"/>
        </w:rPr>
        <w:t>分</w:t>
      </w:r>
      <w:r w:rsidRPr="0009643E">
        <w:rPr>
          <w:rFonts w:asciiTheme="majorEastAsia" w:eastAsiaTheme="majorEastAsia" w:hAnsiTheme="majorEastAsia" w:cs="微软雅黑" w:hint="eastAsia"/>
          <w:position w:val="1"/>
          <w:sz w:val="36"/>
          <w:szCs w:val="36"/>
          <w:lang w:eastAsia="zh-CN"/>
        </w:rPr>
        <w:t xml:space="preserve">          </w:t>
      </w:r>
    </w:p>
    <w:p w:rsidR="002578F3" w:rsidRPr="0009643E" w:rsidRDefault="00325544">
      <w:pPr>
        <w:tabs>
          <w:tab w:val="left" w:pos="3220"/>
        </w:tabs>
        <w:spacing w:after="0" w:line="528" w:lineRule="exact"/>
        <w:ind w:right="1161"/>
        <w:jc w:val="center"/>
        <w:rPr>
          <w:rFonts w:asciiTheme="majorEastAsia" w:eastAsiaTheme="majorEastAsia" w:hAnsiTheme="majorEastAsia" w:cs="微软雅黑"/>
          <w:position w:val="1"/>
          <w:sz w:val="36"/>
          <w:szCs w:val="36"/>
          <w:lang w:eastAsia="zh-CN"/>
        </w:rPr>
      </w:pPr>
      <w:r w:rsidRPr="0009643E">
        <w:rPr>
          <w:rFonts w:asciiTheme="majorEastAsia" w:eastAsiaTheme="majorEastAsia" w:hAnsiTheme="majorEastAsia" w:cs="微软雅黑" w:hint="eastAsia"/>
          <w:position w:val="1"/>
          <w:sz w:val="36"/>
          <w:szCs w:val="36"/>
          <w:lang w:eastAsia="zh-CN"/>
        </w:rPr>
        <w:t xml:space="preserve">        南宫市北胡街道办事处社区卫生服务中心</w:t>
      </w:r>
    </w:p>
    <w:p w:rsidR="002578F3" w:rsidRPr="0009643E" w:rsidRDefault="00325544" w:rsidP="0009643E">
      <w:pPr>
        <w:tabs>
          <w:tab w:val="left" w:pos="3220"/>
        </w:tabs>
        <w:spacing w:after="0" w:line="528" w:lineRule="exact"/>
        <w:ind w:right="1161" w:firstLineChars="800" w:firstLine="2430"/>
        <w:jc w:val="both"/>
        <w:rPr>
          <w:rFonts w:asciiTheme="majorEastAsia" w:eastAsiaTheme="majorEastAsia" w:hAnsiTheme="majorEastAsia" w:cs="微软雅黑"/>
          <w:sz w:val="36"/>
          <w:szCs w:val="36"/>
          <w:lang w:eastAsia="zh-CN"/>
        </w:rPr>
      </w:pPr>
      <w:r w:rsidRPr="0009643E">
        <w:rPr>
          <w:rFonts w:asciiTheme="majorEastAsia" w:eastAsiaTheme="majorEastAsia" w:hAnsiTheme="majorEastAsia" w:cs="微软雅黑" w:hint="eastAsia"/>
          <w:w w:val="85"/>
          <w:sz w:val="36"/>
          <w:szCs w:val="36"/>
          <w:lang w:eastAsia="zh-CN"/>
        </w:rPr>
        <w:t>2017</w:t>
      </w:r>
      <w:r w:rsidRPr="0009643E">
        <w:rPr>
          <w:rFonts w:asciiTheme="majorEastAsia" w:eastAsiaTheme="majorEastAsia" w:hAnsiTheme="majorEastAsia" w:cs="微软雅黑"/>
          <w:sz w:val="36"/>
          <w:szCs w:val="36"/>
          <w:lang w:eastAsia="zh-CN"/>
        </w:rPr>
        <w:t>年部门决算情况</w:t>
      </w:r>
      <w:r w:rsidRPr="0009643E">
        <w:rPr>
          <w:rFonts w:asciiTheme="majorEastAsia" w:eastAsiaTheme="majorEastAsia" w:hAnsiTheme="majorEastAsia" w:cs="微软雅黑" w:hint="eastAsia"/>
          <w:sz w:val="36"/>
          <w:szCs w:val="36"/>
          <w:lang w:eastAsia="zh-CN"/>
        </w:rPr>
        <w:t>说</w:t>
      </w:r>
      <w:r w:rsidRPr="0009643E">
        <w:rPr>
          <w:rFonts w:asciiTheme="majorEastAsia" w:eastAsiaTheme="majorEastAsia" w:hAnsiTheme="majorEastAsia" w:cs="微软雅黑"/>
          <w:sz w:val="36"/>
          <w:szCs w:val="36"/>
          <w:lang w:eastAsia="zh-CN"/>
        </w:rPr>
        <w:t>明</w:t>
      </w:r>
    </w:p>
    <w:p w:rsidR="002578F3" w:rsidRPr="0009643E" w:rsidRDefault="00325544">
      <w:pPr>
        <w:widowControl/>
        <w:numPr>
          <w:ilvl w:val="0"/>
          <w:numId w:val="7"/>
        </w:numPr>
        <w:spacing w:after="0" w:line="580" w:lineRule="exact"/>
        <w:rPr>
          <w:rFonts w:asciiTheme="majorEastAsia" w:eastAsiaTheme="majorEastAsia" w:hAnsiTheme="majorEastAsia" w:cs="新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sz w:val="32"/>
          <w:szCs w:val="32"/>
          <w:lang w:eastAsia="zh-CN"/>
        </w:rPr>
        <w:t>收入支出决算总体情况说明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2017年度预算收入为171.63万元，预算支出为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万元，其中：财政补助收入72.42万元，事业收入9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7.46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万元，其他收入1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.75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万元。2017年度预算安排较上年度减少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67.34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28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%，主要原因是财政拨款收入和事业收入均有减少。 2017年年末结转和结余为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  <w:t>0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。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2578F3" w:rsidRPr="0009643E" w:rsidRDefault="00325544">
      <w:pPr>
        <w:widowControl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>收入决算情况说明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万元，年初预算财政拨款收入为28.47万元，较上年减少了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7.98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9.9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%，主要减少原因是人员经费和公共卫生服务经费减少。事业收入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97.46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万元，较上年减少5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8.88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万元，减幅为3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%，其减少原因是医保控费政策使住院病人费用及住院人数有所下降、同时季节性疾病发病率降低及患者就医逐渐多选上级医院。其他收入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1.75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万元，较上年减少0.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48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万元，减幅为2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%，其减少原因是利息收入和二类疫苗收入减少。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万元，2016年度财政拨款收入决算为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80.4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万元，减少了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7.98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9.9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%，主要是人员经费减少。</w:t>
      </w:r>
    </w:p>
    <w:p w:rsidR="002578F3" w:rsidRPr="0009643E" w:rsidRDefault="00325544">
      <w:pPr>
        <w:widowControl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>支出决算情况说明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2017年度财政拨款支出决算为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万元，年初预算财政拨款支出为28.47万元。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2017年度财政拨款支出决算为7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万元，2016年度财政拨款支出决算为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80.4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万元，减少了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7.98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9.9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%，减少原因为人员经费减少。</w:t>
      </w:r>
    </w:p>
    <w:p w:rsidR="002578F3" w:rsidRPr="0009643E" w:rsidRDefault="00325544">
      <w:pPr>
        <w:widowControl/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2017年年初预算支出为127.68万元。其中：医疗卫生支出127.68万元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2017年度总支出决算为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万元，支出决算按照功能分类情况：</w:t>
      </w:r>
      <w:bookmarkStart w:id="0" w:name="_Hlk528246623"/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基层医疗机构支出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134.87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万元，公共卫生支出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36.76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</w:p>
    <w:bookmarkEnd w:id="0"/>
    <w:p w:rsidR="002578F3" w:rsidRPr="0009643E" w:rsidRDefault="00325544">
      <w:pPr>
        <w:widowControl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>财政拨款收入支出总体情况说明</w:t>
      </w:r>
    </w:p>
    <w:p w:rsidR="002578F3" w:rsidRPr="0009643E" w:rsidRDefault="00325544">
      <w:pPr>
        <w:widowControl/>
        <w:numPr>
          <w:ilvl w:val="0"/>
          <w:numId w:val="8"/>
        </w:numPr>
        <w:adjustRightInd w:val="0"/>
        <w:snapToGrid w:val="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收入支出预算安排情况</w:t>
      </w:r>
    </w:p>
    <w:p w:rsidR="002578F3" w:rsidRPr="0009643E" w:rsidRDefault="00325544">
      <w:pPr>
        <w:widowControl/>
        <w:numPr>
          <w:ilvl w:val="0"/>
          <w:numId w:val="8"/>
        </w:numPr>
        <w:adjustRightInd w:val="0"/>
        <w:snapToGrid w:val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2017年度财政拨款收入预算安排为72.42万元，财政拨款预算支出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2578F3" w:rsidRPr="0009643E" w:rsidRDefault="00325544">
      <w:pPr>
        <w:widowControl/>
        <w:numPr>
          <w:ilvl w:val="0"/>
          <w:numId w:val="9"/>
        </w:numPr>
        <w:adjustRightInd w:val="0"/>
        <w:snapToGrid w:val="0"/>
        <w:spacing w:after="0" w:line="240" w:lineRule="auto"/>
        <w:ind w:firstLine="64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收入支出预算执行情况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1、收入支出与预算对比分析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万元，年初预算财政拨款收入为28.47万元， 2017年度财政拨款收入决算为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万元，2016年度财政拨款收入决算为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80.4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万元，减少了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7.98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9.9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%。</w:t>
      </w:r>
    </w:p>
    <w:p w:rsidR="002578F3" w:rsidRPr="0009643E" w:rsidRDefault="00325544">
      <w:pPr>
        <w:widowControl/>
        <w:adjustRightInd w:val="0"/>
        <w:snapToGrid w:val="0"/>
        <w:ind w:firstLine="64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2017年度总支出决算为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万元，支出决算按照功能分类情况基层医疗机构支出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134.87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万元，公共卫生支出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36.76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 w:rsidRPr="0009643E">
        <w:rPr>
          <w:rFonts w:asciiTheme="majorEastAsia" w:eastAsiaTheme="majorEastAsia" w:hAnsiTheme="majorEastAsia" w:cs="仿宋" w:hint="eastAsia"/>
          <w:color w:val="000000"/>
          <w:sz w:val="32"/>
          <w:szCs w:val="32"/>
          <w:shd w:val="clear" w:color="auto" w:fill="FFFFFF"/>
          <w:lang w:eastAsia="zh-CN"/>
        </w:rPr>
        <w:t>。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按照支出性质情况：医疗卫生支出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万元。按照经济分类情况：工资福利支出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47.16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万元，商品和服务支出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117.59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万元，对个人和家庭的补助支出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6.88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万元.。</w:t>
      </w:r>
    </w:p>
    <w:p w:rsidR="002578F3" w:rsidRPr="0009643E" w:rsidRDefault="00325544">
      <w:pPr>
        <w:widowControl/>
        <w:numPr>
          <w:ilvl w:val="0"/>
          <w:numId w:val="10"/>
        </w:numPr>
        <w:adjustRightInd w:val="0"/>
        <w:snapToGrid w:val="0"/>
        <w:spacing w:after="0" w:line="240" w:lineRule="auto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收入支出结构分析</w:t>
      </w:r>
    </w:p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（1）2017年度决算总收入为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万元，其中：财政拨款收入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72.42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42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%；事业收入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97.46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57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%；其他收入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1.75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万元，占1%。总收入较上年度减少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67.34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28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%，主要是人员经费和事业收入减少。</w:t>
      </w:r>
    </w:p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（2）2017年度决算总支出为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万元，其中：医疗卫生支出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171.63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万元。   </w:t>
      </w:r>
    </w:p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（3）2017年末结转和结余为</w:t>
      </w:r>
      <w:r w:rsidRPr="0009643E"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2578F3" w:rsidRPr="0009643E" w:rsidRDefault="002578F3">
      <w:pPr>
        <w:spacing w:before="3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widowControl/>
        <w:numPr>
          <w:ilvl w:val="0"/>
          <w:numId w:val="11"/>
        </w:numPr>
        <w:adjustRightInd w:val="0"/>
        <w:snapToGrid w:val="0"/>
        <w:spacing w:after="0" w:line="240" w:lineRule="auto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“三公”经费支出决算情况</w:t>
      </w:r>
    </w:p>
    <w:p w:rsidR="002578F3" w:rsidRPr="0009643E" w:rsidRDefault="00325544">
      <w:pPr>
        <w:widowControl/>
        <w:numPr>
          <w:ilvl w:val="0"/>
          <w:numId w:val="12"/>
        </w:numPr>
        <w:adjustRightInd w:val="0"/>
        <w:snapToGrid w:val="0"/>
        <w:spacing w:after="0" w:line="240" w:lineRule="auto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</w:t>
      </w:r>
      <w:r w:rsidRPr="0009643E">
        <w:rPr>
          <w:rFonts w:asciiTheme="majorEastAsia" w:eastAsiaTheme="majorEastAsia" w:hAnsiTheme="majorEastAsia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7"/>
        <w:tblW w:w="8522" w:type="dxa"/>
        <w:jc w:val="center"/>
        <w:tblLayout w:type="fixed"/>
        <w:tblLook w:val="04A0"/>
      </w:tblPr>
      <w:tblGrid>
        <w:gridCol w:w="3205"/>
        <w:gridCol w:w="1274"/>
        <w:gridCol w:w="1455"/>
        <w:gridCol w:w="1335"/>
        <w:gridCol w:w="1253"/>
      </w:tblGrid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20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274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2578F3" w:rsidRPr="0009643E" w:rsidRDefault="00325544">
      <w:pPr>
        <w:widowControl/>
        <w:numPr>
          <w:ilvl w:val="0"/>
          <w:numId w:val="12"/>
        </w:numPr>
        <w:adjustRightInd w:val="0"/>
        <w:snapToGrid w:val="0"/>
        <w:spacing w:after="0" w:line="240" w:lineRule="auto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“三公”经费支出预决算分析</w:t>
      </w:r>
    </w:p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</w:t>
      </w:r>
      <w:r w:rsidRPr="0009643E"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  <w:lang w:eastAsia="zh-CN"/>
        </w:rPr>
        <w:t xml:space="preserve">    </w:t>
      </w: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7"/>
        <w:tblW w:w="8522" w:type="dxa"/>
        <w:jc w:val="center"/>
        <w:tblLayout w:type="fixed"/>
        <w:tblLook w:val="04A0"/>
      </w:tblPr>
      <w:tblGrid>
        <w:gridCol w:w="3063"/>
        <w:gridCol w:w="1416"/>
        <w:gridCol w:w="1455"/>
        <w:gridCol w:w="1335"/>
        <w:gridCol w:w="1253"/>
      </w:tblGrid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78F3" w:rsidRPr="0009643E">
        <w:trPr>
          <w:jc w:val="center"/>
        </w:trPr>
        <w:tc>
          <w:tcPr>
            <w:tcW w:w="306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16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2578F3" w:rsidRPr="0009643E" w:rsidRDefault="0032554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  <w:shd w:val="clear" w:color="auto" w:fill="FFFFFF"/>
              </w:rPr>
            </w:pPr>
            <w:r w:rsidRPr="0009643E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2578F3" w:rsidRPr="0009643E" w:rsidRDefault="00325544">
      <w:pPr>
        <w:widowControl/>
        <w:adjustRightInd w:val="0"/>
        <w:snapToGrid w:val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</w:t>
      </w:r>
    </w:p>
    <w:p w:rsidR="0009643E" w:rsidRPr="0009643E" w:rsidRDefault="0009643E" w:rsidP="0009643E">
      <w:pPr>
        <w:ind w:right="-20" w:firstLineChars="100" w:firstLine="320"/>
        <w:rPr>
          <w:rFonts w:asciiTheme="majorEastAsia" w:eastAsiaTheme="majorEastAsia" w:hAnsiTheme="majorEastAsia" w:cstheme="minorEastAsia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  <w:lang w:eastAsia="zh-CN"/>
        </w:rPr>
        <w:t>六、预算绩效管理工作开展情况说明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2017年，北胡社区卫生服务中心紧紧围绕市政府和市卫生局的决策部署，合理预算安排各项资金；我中心始终坚持以科学发展观和党的十八大精神为指导，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进一步强化领导干部和职工队伍的建设，强化医德医风、服务理念的转变，强化各项规章制度的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lastRenderedPageBreak/>
        <w:t>建立健全，强化医疗质量、医疗安全的保障，切实推进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公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卫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、医疗等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各项工作的深入开展。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公共卫生服务方面：一是大力推进建立居民健康档案工作；二是积极开展健康教育；三是加强妇幼管理工作；四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是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加强老年人、慢性病和重性精神病管理工作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；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五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是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加强疾病预防控制工作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；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六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是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有效履行卫生监督协管职责；七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是</w:t>
      </w: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加强死因报告工作；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  <w:t>扶贫工作方面：一是开展贫困户因病致贫情况筛查；二是对</w:t>
      </w: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建档立卡贫困户实施动态管理，家庭医生签约服务。三是开展健康扶贫。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医疗服务方面：立足于社区卫生服务中心整体的学科规划，分析各学科的技术发展与效益增长方向，进行科学合理的床位配置，再依据床位和人才、设备资源预算科室的服务效率和业绩指标，从而形成社区卫生服务中心整体的绩效预算。通过预算绩效管理合理的引导社区服务中心和科室发展新业务、新技术，促进收入结构的优化调整。进而为社区居民提供更好的医疗服务。</w:t>
      </w:r>
    </w:p>
    <w:p w:rsidR="0009643E" w:rsidRPr="0009643E" w:rsidRDefault="0009643E" w:rsidP="0009643E">
      <w:pPr>
        <w:pStyle w:val="a6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color w:val="000000"/>
          <w:sz w:val="32"/>
          <w:szCs w:val="32"/>
          <w:shd w:val="clear" w:color="auto" w:fill="FFFFFF"/>
        </w:rPr>
        <w:t>1、前</w:t>
      </w: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期准备。为确保此次工作顺利推进，结合工作实际，成立以中心主任为组长，各科室负责人为成员的部门整体绩效评价工作组，负责该项工作的组织领导和实施。召开专题会议研究部署，认真传达学习上级通知等文件精神，明确目标任务， 落实责任分工，确保自评工作扎实有效开展。 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2、组织实施。a.盘点上一年医院整体财务收支情况，分析各类收入、成本构成；b.盘点上一年各类科室的服务效率与核算收支情况；c.确定新一年各科室工作量指标、收入、成本预算；d.确定新一年医院财务收支预算；e.确定医院整体绩效预算。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通过以上步骤，医院的预算绩效管理才能真正做到落地实施，符合国家政策导向，同时促进医院实现可持续发展。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对于其他资金使用进行综合自评，采取收集、审核资料、现场核实、综合评价等措施进行定量定性的评价，最后分别形成结论。</w:t>
      </w:r>
    </w:p>
    <w:p w:rsidR="0009643E" w:rsidRPr="0009643E" w:rsidRDefault="0009643E" w:rsidP="0009643E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分析评价。从这次的绩效自评结果看，我中心项目实施情况整体良好，各科室工作积极主动，使资金发挥了其应有的经济及社会效益，当然也存在一些问题：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leftChars="304" w:left="669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a.预算细化程度不够，造成了预算数与执行数的差异；  b.项目资金预算不足，无法解决</w:t>
      </w:r>
      <w:r w:rsidRPr="0009643E">
        <w:rPr>
          <w:rFonts w:asciiTheme="majorEastAsia" w:eastAsiaTheme="majorEastAsia" w:hAnsiTheme="majorEastAsia" w:cstheme="minorEastAsia"/>
          <w:sz w:val="32"/>
          <w:szCs w:val="32"/>
        </w:rPr>
        <w:t>设备简陋的问题，制约了</w:t>
      </w: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中心</w:t>
      </w:r>
      <w:r w:rsidRPr="0009643E">
        <w:rPr>
          <w:rFonts w:asciiTheme="majorEastAsia" w:eastAsiaTheme="majorEastAsia" w:hAnsiTheme="majorEastAsia" w:cstheme="minorEastAsia"/>
          <w:sz w:val="32"/>
          <w:szCs w:val="32"/>
        </w:rPr>
        <w:t>的发展；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lastRenderedPageBreak/>
        <w:t>c.预算执行完成后的绩效管理还有待完善和加强。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（三）部门整体绩效目标的完成情况</w:t>
      </w:r>
    </w:p>
    <w:p w:rsidR="0009643E" w:rsidRPr="0009643E" w:rsidRDefault="0009643E" w:rsidP="0009643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通过2017年度各项工作任务的开展，不断完善了我中心医疗管理体制、提升了医疗服务能力，加大了服务力度，全面保证了</w:t>
      </w:r>
      <w:r w:rsidRPr="0009643E">
        <w:rPr>
          <w:rFonts w:asciiTheme="majorEastAsia" w:eastAsiaTheme="majorEastAsia" w:hAnsiTheme="majorEastAsia" w:cstheme="minorEastAsia"/>
          <w:sz w:val="32"/>
          <w:szCs w:val="32"/>
        </w:rPr>
        <w:t>辖区人民群众的身体健康。一年来，我</w:t>
      </w: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中心</w:t>
      </w:r>
      <w:r w:rsidRPr="0009643E">
        <w:rPr>
          <w:rFonts w:asciiTheme="majorEastAsia" w:eastAsiaTheme="majorEastAsia" w:hAnsiTheme="majorEastAsia" w:cstheme="minorEastAsia"/>
          <w:sz w:val="32"/>
          <w:szCs w:val="32"/>
        </w:rPr>
        <w:t>进一步强化领导干部和职工队伍的建设，强化医德医风、服务理念的转变，从业人员的医疗安全意识、法律意识、责任意识明显提高。与同时不断强化各项规章制度的建立健全，强化医疗质量、医疗安全的保障，有力的推动了</w:t>
      </w: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医疗卫生</w:t>
      </w:r>
      <w:r w:rsidRPr="0009643E">
        <w:rPr>
          <w:rFonts w:asciiTheme="majorEastAsia" w:eastAsiaTheme="majorEastAsia" w:hAnsiTheme="majorEastAsia" w:cstheme="minorEastAsia"/>
          <w:sz w:val="32"/>
          <w:szCs w:val="32"/>
        </w:rPr>
        <w:t>各项工作的深入开展，各项监管制度措施也得到了认真落实</w:t>
      </w:r>
      <w:r w:rsidRPr="0009643E">
        <w:rPr>
          <w:rFonts w:asciiTheme="majorEastAsia" w:eastAsiaTheme="majorEastAsia" w:hAnsiTheme="majorEastAsia" w:cstheme="minorEastAsia" w:hint="eastAsia"/>
          <w:sz w:val="32"/>
          <w:szCs w:val="32"/>
        </w:rPr>
        <w:t>。</w:t>
      </w:r>
    </w:p>
    <w:p w:rsidR="002578F3" w:rsidRPr="0009643E" w:rsidRDefault="00325544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黑体" w:hint="eastAsia"/>
          <w:sz w:val="32"/>
          <w:szCs w:val="32"/>
        </w:rPr>
        <w:t xml:space="preserve">      </w:t>
      </w:r>
      <w:r w:rsidRPr="0009643E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2578F3" w:rsidRPr="0009643E" w:rsidRDefault="00325544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09643E">
        <w:rPr>
          <w:rFonts w:asciiTheme="majorEastAsia" w:eastAsiaTheme="majorEastAsia" w:hAnsiTheme="majorEastAsia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 w:rsidRPr="0009643E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2578F3" w:rsidRPr="0009643E" w:rsidRDefault="00325544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我单位无相关支出。</w:t>
      </w:r>
    </w:p>
    <w:p w:rsidR="002578F3" w:rsidRPr="0009643E" w:rsidRDefault="00325544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 xml:space="preserve">   （二）培训费支出情况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bookmarkStart w:id="1" w:name="_Hlk528249622"/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我单位无相关支出</w:t>
      </w:r>
      <w:bookmarkEnd w:id="1"/>
    </w:p>
    <w:p w:rsidR="002578F3" w:rsidRPr="0009643E" w:rsidRDefault="00325544">
      <w:pPr>
        <w:numPr>
          <w:ilvl w:val="0"/>
          <w:numId w:val="13"/>
        </w:numPr>
        <w:adjustRightInd w:val="0"/>
        <w:snapToGrid w:val="0"/>
        <w:spacing w:after="0" w:line="240" w:lineRule="auto"/>
        <w:ind w:firstLine="640"/>
        <w:jc w:val="both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机关运行经费情</w:t>
      </w:r>
      <w:proofErr w:type="spellEnd"/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况</w:t>
      </w:r>
    </w:p>
    <w:p w:rsidR="002578F3" w:rsidRPr="0009643E" w:rsidRDefault="00325544">
      <w:pPr>
        <w:adjustRightInd w:val="0"/>
        <w:snapToGrid w:val="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 xml:space="preserve">   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我单位为事业单位无需填报机关经费运行情况</w:t>
      </w:r>
    </w:p>
    <w:p w:rsidR="002578F3" w:rsidRPr="0009643E" w:rsidRDefault="00325544">
      <w:pPr>
        <w:numPr>
          <w:ilvl w:val="0"/>
          <w:numId w:val="13"/>
        </w:numPr>
        <w:adjustRightInd w:val="0"/>
        <w:snapToGrid w:val="0"/>
        <w:spacing w:after="0" w:line="240" w:lineRule="auto"/>
        <w:ind w:firstLine="640"/>
        <w:jc w:val="both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政府采购情况</w:t>
      </w:r>
      <w:proofErr w:type="spellEnd"/>
    </w:p>
    <w:p w:rsidR="002578F3" w:rsidRPr="0009643E" w:rsidRDefault="00325544">
      <w:pPr>
        <w:adjustRightInd w:val="0"/>
        <w:snapToGrid w:val="0"/>
        <w:ind w:firstLine="640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我单位无相关支出</w:t>
      </w:r>
      <w:proofErr w:type="spellEnd"/>
    </w:p>
    <w:p w:rsidR="002578F3" w:rsidRPr="0009643E" w:rsidRDefault="00325544">
      <w:pPr>
        <w:spacing w:before="50" w:after="0" w:line="240" w:lineRule="auto"/>
        <w:ind w:right="-20"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（五）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国有资产占用情况</w:t>
      </w:r>
    </w:p>
    <w:p w:rsidR="002578F3" w:rsidRPr="0009643E" w:rsidRDefault="002578F3">
      <w:pPr>
        <w:spacing w:before="4" w:after="0" w:line="150" w:lineRule="exact"/>
        <w:rPr>
          <w:rFonts w:asciiTheme="majorEastAsia" w:eastAsiaTheme="majorEastAsia" w:hAnsiTheme="majorEastAsia"/>
          <w:sz w:val="15"/>
          <w:szCs w:val="15"/>
          <w:lang w:eastAsia="zh-CN"/>
        </w:rPr>
      </w:pPr>
    </w:p>
    <w:p w:rsidR="002578F3" w:rsidRPr="0009643E" w:rsidRDefault="00325544">
      <w:pPr>
        <w:adjustRightInd w:val="0"/>
        <w:snapToGrid w:val="0"/>
        <w:ind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截至</w:t>
      </w:r>
      <w:r w:rsidRPr="0009643E">
        <w:rPr>
          <w:rFonts w:asciiTheme="majorEastAsia" w:eastAsiaTheme="majorEastAsia" w:hAnsiTheme="majorEastAsia" w:cs="仿宋_GB2312"/>
          <w:spacing w:val="-7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201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7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年</w:t>
      </w:r>
      <w:r w:rsidRPr="0009643E">
        <w:rPr>
          <w:rFonts w:asciiTheme="majorEastAsia" w:eastAsiaTheme="majorEastAsia" w:hAnsiTheme="majorEastAsia" w:cs="仿宋_GB2312"/>
          <w:spacing w:val="-7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pacing w:val="-1"/>
          <w:sz w:val="32"/>
          <w:szCs w:val="32"/>
          <w:lang w:eastAsia="zh-CN"/>
        </w:rPr>
        <w:t>1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</w:t>
      </w:r>
      <w:r w:rsidRPr="0009643E">
        <w:rPr>
          <w:rFonts w:asciiTheme="majorEastAsia" w:eastAsiaTheme="majorEastAsia" w:hAnsiTheme="majorEastAsia" w:cs="仿宋_GB2312"/>
          <w:spacing w:val="-71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月</w:t>
      </w:r>
      <w:r w:rsidRPr="0009643E">
        <w:rPr>
          <w:rFonts w:asciiTheme="majorEastAsia" w:eastAsiaTheme="majorEastAsia" w:hAnsiTheme="majorEastAsia" w:cs="仿宋_GB2312"/>
          <w:spacing w:val="-7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31</w:t>
      </w:r>
      <w:r w:rsidRPr="0009643E">
        <w:rPr>
          <w:rFonts w:asciiTheme="majorEastAsia" w:eastAsiaTheme="majorEastAsia" w:hAnsiTheme="majorEastAsia" w:cs="仿宋_GB2312"/>
          <w:spacing w:val="-71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日，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本单位共有车辆0辆，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单位价值</w:t>
      </w:r>
      <w:r w:rsidRPr="0009643E">
        <w:rPr>
          <w:rFonts w:asciiTheme="majorEastAsia" w:eastAsiaTheme="majorEastAsia" w:hAnsiTheme="majorEastAsia" w:cs="仿宋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50</w:t>
      </w:r>
      <w:r w:rsidRPr="0009643E">
        <w:rPr>
          <w:rFonts w:asciiTheme="majorEastAsia" w:eastAsiaTheme="majorEastAsia" w:hAnsiTheme="majorEastAsia" w:cs="仿宋_GB2312"/>
          <w:spacing w:val="-81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万元以上大型设备</w:t>
      </w:r>
      <w:r w:rsidRPr="0009643E">
        <w:rPr>
          <w:rFonts w:asciiTheme="majorEastAsia" w:eastAsiaTheme="majorEastAsia" w:hAnsiTheme="majorEastAsia" w:cs="仿宋_GB2312"/>
          <w:spacing w:val="-81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0</w:t>
      </w:r>
      <w:r w:rsidRPr="0009643E">
        <w:rPr>
          <w:rFonts w:asciiTheme="majorEastAsia" w:eastAsiaTheme="majorEastAsia" w:hAnsiTheme="majorEastAsia" w:cs="仿宋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台（套</w:t>
      </w:r>
      <w:r w:rsidRPr="0009643E">
        <w:rPr>
          <w:rFonts w:asciiTheme="majorEastAsia" w:eastAsiaTheme="majorEastAsia" w:hAnsiTheme="majorEastAsia" w:cs="仿宋_GB2312"/>
          <w:spacing w:val="-160"/>
          <w:sz w:val="32"/>
          <w:szCs w:val="32"/>
          <w:lang w:eastAsia="zh-CN"/>
        </w:rPr>
        <w:t>）</w:t>
      </w:r>
      <w:r w:rsidRPr="0009643E">
        <w:rPr>
          <w:rFonts w:asciiTheme="majorEastAsia" w:eastAsiaTheme="majorEastAsia" w:hAnsiTheme="majorEastAsia" w:cs="仿宋_GB2312" w:hint="eastAsia"/>
          <w:spacing w:val="-160"/>
          <w:sz w:val="32"/>
          <w:szCs w:val="32"/>
          <w:lang w:eastAsia="zh-CN"/>
        </w:rPr>
        <w:t>,，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价值</w:t>
      </w:r>
      <w:r w:rsidRPr="0009643E">
        <w:rPr>
          <w:rFonts w:asciiTheme="majorEastAsia" w:eastAsiaTheme="majorEastAsia" w:hAnsiTheme="majorEastAsia" w:cs="仿宋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100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万元以上大型设备</w:t>
      </w:r>
      <w:r w:rsidRPr="0009643E">
        <w:rPr>
          <w:rFonts w:asciiTheme="majorEastAsia" w:eastAsiaTheme="majorEastAsia" w:hAnsiTheme="majorEastAsia" w:cs="仿宋_GB2312"/>
          <w:spacing w:val="-81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0</w:t>
      </w:r>
      <w:r w:rsidRPr="0009643E">
        <w:rPr>
          <w:rFonts w:asciiTheme="majorEastAsia" w:eastAsiaTheme="majorEastAsia" w:hAnsiTheme="majorEastAsia" w:cs="仿宋_GB2312"/>
          <w:spacing w:val="-80"/>
          <w:sz w:val="32"/>
          <w:szCs w:val="32"/>
          <w:lang w:eastAsia="zh-CN"/>
        </w:rPr>
        <w:t xml:space="preserve">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台（套</w:t>
      </w:r>
      <w:r w:rsidRPr="0009643E">
        <w:rPr>
          <w:rFonts w:asciiTheme="majorEastAsia" w:eastAsiaTheme="majorEastAsia" w:hAnsiTheme="majorEastAsia" w:cs="仿宋_GB2312"/>
          <w:spacing w:val="-160"/>
          <w:sz w:val="32"/>
          <w:szCs w:val="32"/>
          <w:lang w:eastAsia="zh-CN"/>
        </w:rPr>
        <w:t>）</w:t>
      </w:r>
      <w:r w:rsidRPr="0009643E">
        <w:rPr>
          <w:rFonts w:asciiTheme="majorEastAsia" w:eastAsiaTheme="majorEastAsia" w:hAnsiTheme="majorEastAsia" w:cs="仿宋_GB2312" w:hint="eastAsia"/>
          <w:spacing w:val="-160"/>
          <w:sz w:val="32"/>
          <w:szCs w:val="32"/>
          <w:lang w:eastAsia="zh-CN"/>
        </w:rPr>
        <w:t>。</w:t>
      </w:r>
      <w:bookmarkStart w:id="2" w:name="_GoBack"/>
      <w:bookmarkEnd w:id="2"/>
    </w:p>
    <w:p w:rsidR="002578F3" w:rsidRPr="0009643E" w:rsidRDefault="00325544">
      <w:p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2017年初资产总值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296.37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万元，年末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371.82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万元。年末资产中，流动资产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139.22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万元，固定资产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228.18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万元。固定资产中，房屋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77.44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万元、、其他固定资产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150.74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万元（主要为通用设备、专用设备、办公家具及用具装具等）。</w:t>
      </w:r>
    </w:p>
    <w:p w:rsidR="002578F3" w:rsidRPr="0009643E" w:rsidRDefault="00325544">
      <w:pPr>
        <w:numPr>
          <w:ilvl w:val="0"/>
          <w:numId w:val="14"/>
        </w:numPr>
        <w:adjustRightInd w:val="0"/>
        <w:snapToGrid w:val="0"/>
        <w:spacing w:after="0" w:line="240" w:lineRule="auto"/>
        <w:ind w:firstLine="640"/>
        <w:jc w:val="both"/>
        <w:rPr>
          <w:rFonts w:asciiTheme="majorEastAsia" w:eastAsiaTheme="majorEastAsia" w:hAnsiTheme="majorEastAsia" w:cs="仿宋_GB2312"/>
          <w:sz w:val="32"/>
          <w:szCs w:val="32"/>
        </w:rPr>
      </w:pPr>
      <w:proofErr w:type="spellStart"/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资产负债情况</w:t>
      </w:r>
      <w:proofErr w:type="spellEnd"/>
    </w:p>
    <w:p w:rsidR="002578F3" w:rsidRPr="0009643E" w:rsidRDefault="00325544">
      <w:pPr>
        <w:adjustRightInd w:val="0"/>
        <w:snapToGrid w:val="0"/>
        <w:rPr>
          <w:rFonts w:asciiTheme="majorEastAsia" w:eastAsiaTheme="majorEastAsia" w:hAnsiTheme="majorEastAsia" w:cs="仿宋_GB2312"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</w:rPr>
        <w:t>1、资产负债结构情况</w:t>
      </w:r>
    </w:p>
    <w:p w:rsidR="002578F3" w:rsidRPr="0009643E" w:rsidRDefault="00325544">
      <w:pPr>
        <w:adjustRightInd w:val="0"/>
        <w:snapToGrid w:val="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2017年，我单位总资产为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371.82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万元，总负债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74.61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万元，净资产为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297.2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万元。较上年相比，资产增加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75.45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 增幅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lastRenderedPageBreak/>
        <w:t>为20%，原因是流动资产增加；负债增加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14.71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万元，增幅为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20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%，原因是其他应付款增加；净资产增加了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60.73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万元，增幅为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20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%。</w:t>
      </w:r>
    </w:p>
    <w:p w:rsidR="002578F3" w:rsidRPr="0009643E" w:rsidRDefault="00325544">
      <w:pPr>
        <w:adjustRightInd w:val="0"/>
        <w:snapToGrid w:val="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       2、资产负债情况分析</w:t>
      </w:r>
    </w:p>
    <w:p w:rsidR="002578F3" w:rsidRPr="0009643E" w:rsidRDefault="00325544">
      <w:pPr>
        <w:adjustRightInd w:val="0"/>
        <w:snapToGrid w:val="0"/>
        <w:ind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2017年度我单位总资产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371.82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万元，总负债 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74.61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万元，资产负债率</w:t>
      </w:r>
      <w:r w:rsidRPr="0009643E">
        <w:rPr>
          <w:rFonts w:asciiTheme="majorEastAsia" w:eastAsiaTheme="majorEastAsia" w:hAnsiTheme="majorEastAsia" w:cs="仿宋_GB2312"/>
          <w:sz w:val="32"/>
          <w:szCs w:val="32"/>
          <w:lang w:eastAsia="zh-CN"/>
        </w:rPr>
        <w:t>20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%，与上年度对比资产负债率相等。</w:t>
      </w:r>
    </w:p>
    <w:p w:rsidR="002578F3" w:rsidRPr="0009643E" w:rsidRDefault="00325544">
      <w:pPr>
        <w:adjustRightInd w:val="0"/>
        <w:snapToGrid w:val="0"/>
        <w:ind w:firstLine="640"/>
        <w:rPr>
          <w:rFonts w:asciiTheme="majorEastAsia" w:eastAsiaTheme="majorEastAsia" w:hAnsiTheme="majorEastAsia" w:cs="新宋体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新宋体" w:hint="eastAsia"/>
          <w:sz w:val="32"/>
          <w:szCs w:val="32"/>
          <w:lang w:eastAsia="zh-CN"/>
        </w:rPr>
        <w:t>其他需要说明的问题</w:t>
      </w:r>
      <w:r w:rsidRPr="0009643E">
        <w:rPr>
          <w:rFonts w:asciiTheme="majorEastAsia" w:eastAsiaTheme="majorEastAsia" w:hAnsiTheme="majorEastAsia" w:cs="仿宋" w:hint="eastAsia"/>
          <w:sz w:val="32"/>
          <w:szCs w:val="32"/>
          <w:lang w:eastAsia="zh-CN"/>
        </w:rPr>
        <w:t xml:space="preserve"> </w:t>
      </w:r>
    </w:p>
    <w:p w:rsidR="002578F3" w:rsidRPr="0009643E" w:rsidRDefault="00325544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我单位不涉及《政府性基金预算财政拨款收入支出决算表》 和《国有资本经营预算财政拨款收入支出决算表》，因此均为空表。</w:t>
      </w:r>
      <w:r w:rsidRPr="0009643E"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  <w:t>第四部分  名词解释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财政拨款收入：本年度从本级财政部门取得的财政拨款，包括一般公共预算财政拨款和政府性基金预算财政拨款。 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事业收入：指事业单位开展专业业务活动及辅助活动所 取得的收入。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其他收入：指除上述“财政拨款收入”、“事业收入”、 “经营收入”等以外的收入。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 xml:space="preserve">用事业基金弥补收支差额：指事业单位在用当年的“财 政拨款收入”、“财政拨款结转和结余资金”、“事业收入”、“经营收入”、“其他收入”不足以安排当年支出的情况下，使用以前年 </w:t>
      </w:r>
      <w:r w:rsidR="00CD664C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度积累的事业基金（事业单位当年收支相抵后按国家</w:t>
      </w: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定提取、用于弥补以后年度收支差额的基金）弥补本年度收支缺口的资金。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年初结转和结余：指以前年度尚未完成、结转到本年仍 按原规定用途继续使用的资金，或项目已完成等产生的结余资金。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结余分配：指事业单位按照事业单位会计制度的规定从 非财政补助结余中分配的事业基金和职工福利基金等。</w:t>
      </w:r>
    </w:p>
    <w:p w:rsidR="002578F3" w:rsidRPr="0009643E" w:rsidRDefault="00325544">
      <w:pPr>
        <w:numPr>
          <w:ilvl w:val="0"/>
          <w:numId w:val="15"/>
        </w:numPr>
        <w:adjustRightInd w:val="0"/>
        <w:snapToGrid w:val="0"/>
        <w:spacing w:after="0" w:line="240" w:lineRule="auto"/>
        <w:ind w:firstLineChars="200" w:firstLine="640"/>
        <w:jc w:val="both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年末结转和结余：指单位按有关规定结转到下年或以后 年度继续使用的资金，或项目已完成等产生的结余资金。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八、基本支出：填列单位为保障机构正常运转、完成日常工 作任务而发生的各项支出。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九、项目支出：填列单位为完成特定的行政工作任务或事业 发展目标，在基本支出之外发生的各项支出。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lastRenderedPageBreak/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十一、其他资本性支出：填列由各级非发展与改革部门集中 安排的用于购置固定资产、战备性和应急性储备、土地和无形资产，以及购建基础设施、大型修缮和财政支持企业更新改造所发 生的支出。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费反映单位按规定开支的各类公务接待（含外宾接待）支出。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十三、其他交通费用：填列单位除公务用车运行维护费以外 的其他交通费用。如飞机、船舶等的燃料费、维修费、过桥过路 38 费、保险费、出租车费用、公务交通补贴等。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十四、公务用车购置：填列单位公务用车车辆购置支出（含 车辆购置税）。</w:t>
      </w:r>
    </w:p>
    <w:p w:rsidR="002578F3" w:rsidRPr="0009643E" w:rsidRDefault="00325544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十五、其他交通工具购置：填列单位除公务用车外的其他各 类交通工具（如船舶、飞机）购置支出（含车辆购置税）。</w:t>
      </w:r>
    </w:p>
    <w:p w:rsidR="002578F3" w:rsidRPr="00CD664C" w:rsidRDefault="00325544" w:rsidP="00CD664C">
      <w:pPr>
        <w:adjustRightInd w:val="0"/>
        <w:snapToGrid w:val="0"/>
        <w:ind w:firstLineChars="200" w:firstLine="640"/>
        <w:rPr>
          <w:rFonts w:asciiTheme="majorEastAsia" w:eastAsiaTheme="majorEastAsia" w:hAnsiTheme="majorEastAsia" w:cs="仿宋_GB2312"/>
          <w:b/>
          <w:bCs/>
          <w:sz w:val="32"/>
          <w:szCs w:val="32"/>
          <w:lang w:eastAsia="zh-CN"/>
        </w:rPr>
      </w:pPr>
      <w:r w:rsidRPr="0009643E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十六、机关运行经费：指为保障行政单位（包括参照公务员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2578F3" w:rsidRPr="0009643E" w:rsidRDefault="002578F3">
      <w:pPr>
        <w:spacing w:before="50" w:after="0" w:line="240" w:lineRule="auto"/>
        <w:ind w:right="-20"/>
        <w:rPr>
          <w:rFonts w:asciiTheme="majorEastAsia" w:eastAsiaTheme="majorEastAsia" w:hAnsiTheme="majorEastAsia" w:cs="黑体"/>
          <w:sz w:val="32"/>
          <w:szCs w:val="32"/>
          <w:lang w:eastAsia="zh-CN"/>
        </w:rPr>
        <w:sectPr w:rsidR="002578F3" w:rsidRPr="0009643E">
          <w:pgSz w:w="11920" w:h="16840"/>
          <w:pgMar w:top="1580" w:right="1360" w:bottom="280" w:left="1360" w:header="720" w:footer="720" w:gutter="0"/>
          <w:cols w:space="720"/>
        </w:sectPr>
      </w:pPr>
    </w:p>
    <w:p w:rsidR="002578F3" w:rsidRPr="0009643E" w:rsidRDefault="002578F3">
      <w:pPr>
        <w:spacing w:after="0" w:line="240" w:lineRule="auto"/>
        <w:ind w:right="-20" w:firstLineChars="200" w:firstLine="640"/>
        <w:rPr>
          <w:rFonts w:asciiTheme="majorEastAsia" w:eastAsiaTheme="majorEastAsia" w:hAnsiTheme="majorEastAsia" w:cs="仿宋_GB2312"/>
          <w:sz w:val="32"/>
          <w:szCs w:val="32"/>
          <w:lang w:eastAsia="zh-CN"/>
        </w:rPr>
      </w:pPr>
    </w:p>
    <w:sectPr w:rsidR="002578F3" w:rsidRPr="0009643E" w:rsidSect="002578F3">
      <w:pgSz w:w="11920" w:h="16840"/>
      <w:pgMar w:top="1580" w:right="1680" w:bottom="28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23" w:rsidRDefault="00265523" w:rsidP="0009643E">
      <w:pPr>
        <w:spacing w:after="0" w:line="240" w:lineRule="auto"/>
      </w:pPr>
      <w:r>
        <w:separator/>
      </w:r>
    </w:p>
  </w:endnote>
  <w:endnote w:type="continuationSeparator" w:id="0">
    <w:p w:rsidR="00265523" w:rsidRDefault="00265523" w:rsidP="000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23" w:rsidRDefault="00265523" w:rsidP="0009643E">
      <w:pPr>
        <w:spacing w:after="0" w:line="240" w:lineRule="auto"/>
      </w:pPr>
      <w:r>
        <w:separator/>
      </w:r>
    </w:p>
  </w:footnote>
  <w:footnote w:type="continuationSeparator" w:id="0">
    <w:p w:rsidR="00265523" w:rsidRDefault="00265523" w:rsidP="0009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04C256"/>
    <w:multiLevelType w:val="singleLevel"/>
    <w:tmpl w:val="AA04C256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abstractNum w:abstractNumId="1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B62691"/>
    <w:multiLevelType w:val="singleLevel"/>
    <w:tmpl w:val="59B62691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626FC"/>
    <w:multiLevelType w:val="singleLevel"/>
    <w:tmpl w:val="59B626FC"/>
    <w:lvl w:ilvl="0">
      <w:start w:val="10"/>
      <w:numFmt w:val="chineseCounting"/>
      <w:suff w:val="nothing"/>
      <w:lvlText w:val="%1、"/>
      <w:lvlJc w:val="left"/>
    </w:lvl>
  </w:abstractNum>
  <w:abstractNum w:abstractNumId="5">
    <w:nsid w:val="59F7DCD9"/>
    <w:multiLevelType w:val="singleLevel"/>
    <w:tmpl w:val="59F7DCD9"/>
    <w:lvl w:ilvl="0">
      <w:start w:val="3"/>
      <w:numFmt w:val="chineseCounting"/>
      <w:suff w:val="nothing"/>
      <w:lvlText w:val="第%1部"/>
      <w:lvlJc w:val="left"/>
    </w:lvl>
  </w:abstractNum>
  <w:abstractNum w:abstractNumId="6">
    <w:nsid w:val="59F81127"/>
    <w:multiLevelType w:val="singleLevel"/>
    <w:tmpl w:val="59F81127"/>
    <w:lvl w:ilvl="0">
      <w:start w:val="4"/>
      <w:numFmt w:val="chineseCounting"/>
      <w:suff w:val="nothing"/>
      <w:lvlText w:val="第%1部"/>
      <w:lvlJc w:val="left"/>
    </w:lvl>
  </w:abstractNum>
  <w:abstractNum w:abstractNumId="7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10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11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3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4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5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D5331"/>
    <w:rsid w:val="00094287"/>
    <w:rsid w:val="0009643E"/>
    <w:rsid w:val="000C2829"/>
    <w:rsid w:val="0010441D"/>
    <w:rsid w:val="001063AA"/>
    <w:rsid w:val="00153027"/>
    <w:rsid w:val="00154319"/>
    <w:rsid w:val="001D6328"/>
    <w:rsid w:val="00210105"/>
    <w:rsid w:val="002113D0"/>
    <w:rsid w:val="002578F3"/>
    <w:rsid w:val="00265523"/>
    <w:rsid w:val="002770FB"/>
    <w:rsid w:val="002A5F92"/>
    <w:rsid w:val="002B0D4C"/>
    <w:rsid w:val="002E3A77"/>
    <w:rsid w:val="00325544"/>
    <w:rsid w:val="003D5331"/>
    <w:rsid w:val="00414497"/>
    <w:rsid w:val="004837D8"/>
    <w:rsid w:val="0048588B"/>
    <w:rsid w:val="00533241"/>
    <w:rsid w:val="005419E3"/>
    <w:rsid w:val="005A4CAD"/>
    <w:rsid w:val="0065398C"/>
    <w:rsid w:val="00656A75"/>
    <w:rsid w:val="006A5239"/>
    <w:rsid w:val="006C3790"/>
    <w:rsid w:val="00717F6E"/>
    <w:rsid w:val="00744C4F"/>
    <w:rsid w:val="007853D6"/>
    <w:rsid w:val="007A102E"/>
    <w:rsid w:val="008232EB"/>
    <w:rsid w:val="00867B2D"/>
    <w:rsid w:val="0087099B"/>
    <w:rsid w:val="00887D55"/>
    <w:rsid w:val="00892003"/>
    <w:rsid w:val="008966F1"/>
    <w:rsid w:val="008B7EE9"/>
    <w:rsid w:val="00901491"/>
    <w:rsid w:val="009E09F4"/>
    <w:rsid w:val="009E153A"/>
    <w:rsid w:val="00A32F31"/>
    <w:rsid w:val="00A66735"/>
    <w:rsid w:val="00A93628"/>
    <w:rsid w:val="00AA30AC"/>
    <w:rsid w:val="00AB3219"/>
    <w:rsid w:val="00B07AD7"/>
    <w:rsid w:val="00C16C56"/>
    <w:rsid w:val="00C83D64"/>
    <w:rsid w:val="00CB5951"/>
    <w:rsid w:val="00CD664C"/>
    <w:rsid w:val="00D321DD"/>
    <w:rsid w:val="00D354FA"/>
    <w:rsid w:val="00D37583"/>
    <w:rsid w:val="00D52DB1"/>
    <w:rsid w:val="00DB3411"/>
    <w:rsid w:val="00DE5BB2"/>
    <w:rsid w:val="00EB6E80"/>
    <w:rsid w:val="00EC0AFF"/>
    <w:rsid w:val="00F47171"/>
    <w:rsid w:val="00F71133"/>
    <w:rsid w:val="00F83D07"/>
    <w:rsid w:val="00FA50D1"/>
    <w:rsid w:val="00FB4660"/>
    <w:rsid w:val="01873B56"/>
    <w:rsid w:val="023B3C9E"/>
    <w:rsid w:val="02AB24A3"/>
    <w:rsid w:val="034D2244"/>
    <w:rsid w:val="04241040"/>
    <w:rsid w:val="045C06B7"/>
    <w:rsid w:val="04E41C9E"/>
    <w:rsid w:val="06300CA0"/>
    <w:rsid w:val="08826CDA"/>
    <w:rsid w:val="08B23943"/>
    <w:rsid w:val="09EF2F09"/>
    <w:rsid w:val="0A103BCC"/>
    <w:rsid w:val="0B024031"/>
    <w:rsid w:val="0C3D58D2"/>
    <w:rsid w:val="0D5D17B7"/>
    <w:rsid w:val="0DE27AA9"/>
    <w:rsid w:val="12305409"/>
    <w:rsid w:val="124B2FC6"/>
    <w:rsid w:val="168D5716"/>
    <w:rsid w:val="17106314"/>
    <w:rsid w:val="171624BB"/>
    <w:rsid w:val="182D47FA"/>
    <w:rsid w:val="1B394EED"/>
    <w:rsid w:val="1B873521"/>
    <w:rsid w:val="1C3D2D6D"/>
    <w:rsid w:val="1C610246"/>
    <w:rsid w:val="1D8C6F1E"/>
    <w:rsid w:val="1EB1756E"/>
    <w:rsid w:val="20A85D7B"/>
    <w:rsid w:val="21F1353E"/>
    <w:rsid w:val="220B6F0E"/>
    <w:rsid w:val="22793CB2"/>
    <w:rsid w:val="2429638D"/>
    <w:rsid w:val="263E44ED"/>
    <w:rsid w:val="26596B48"/>
    <w:rsid w:val="27437A99"/>
    <w:rsid w:val="28A9319D"/>
    <w:rsid w:val="29375A3B"/>
    <w:rsid w:val="2A9F7207"/>
    <w:rsid w:val="2D330F0C"/>
    <w:rsid w:val="2DCA427F"/>
    <w:rsid w:val="2EBD75E6"/>
    <w:rsid w:val="2FC94BB8"/>
    <w:rsid w:val="311015B7"/>
    <w:rsid w:val="340E5B99"/>
    <w:rsid w:val="34E86A49"/>
    <w:rsid w:val="36225913"/>
    <w:rsid w:val="3933559C"/>
    <w:rsid w:val="3AA56C1C"/>
    <w:rsid w:val="3B363C59"/>
    <w:rsid w:val="3B48565B"/>
    <w:rsid w:val="3BF112B8"/>
    <w:rsid w:val="400C45DC"/>
    <w:rsid w:val="41C226D8"/>
    <w:rsid w:val="42D368E1"/>
    <w:rsid w:val="44E82FBE"/>
    <w:rsid w:val="44F55651"/>
    <w:rsid w:val="46664B00"/>
    <w:rsid w:val="470A3F5A"/>
    <w:rsid w:val="478576AB"/>
    <w:rsid w:val="48993B88"/>
    <w:rsid w:val="48F82169"/>
    <w:rsid w:val="49370D7E"/>
    <w:rsid w:val="4A611FB8"/>
    <w:rsid w:val="4A713D32"/>
    <w:rsid w:val="4AC71487"/>
    <w:rsid w:val="4ACE5158"/>
    <w:rsid w:val="4BDA43E6"/>
    <w:rsid w:val="4BFF0883"/>
    <w:rsid w:val="4EC77CEE"/>
    <w:rsid w:val="505B41D9"/>
    <w:rsid w:val="508D15C6"/>
    <w:rsid w:val="51740C2B"/>
    <w:rsid w:val="525B1D59"/>
    <w:rsid w:val="56BB1520"/>
    <w:rsid w:val="57255DCD"/>
    <w:rsid w:val="5887293E"/>
    <w:rsid w:val="5A4D2318"/>
    <w:rsid w:val="5A7715B7"/>
    <w:rsid w:val="5BD66845"/>
    <w:rsid w:val="5C2437DD"/>
    <w:rsid w:val="5C9B347A"/>
    <w:rsid w:val="61D47D9D"/>
    <w:rsid w:val="628C384E"/>
    <w:rsid w:val="62A15F6C"/>
    <w:rsid w:val="634461C5"/>
    <w:rsid w:val="64520033"/>
    <w:rsid w:val="6532755A"/>
    <w:rsid w:val="65B13405"/>
    <w:rsid w:val="672562CC"/>
    <w:rsid w:val="67556984"/>
    <w:rsid w:val="6EB42E90"/>
    <w:rsid w:val="6F0E21B7"/>
    <w:rsid w:val="6FE65D8A"/>
    <w:rsid w:val="6FED5EA5"/>
    <w:rsid w:val="71BB0C07"/>
    <w:rsid w:val="721E0A95"/>
    <w:rsid w:val="731D06FD"/>
    <w:rsid w:val="732906E9"/>
    <w:rsid w:val="73602764"/>
    <w:rsid w:val="73AB67AD"/>
    <w:rsid w:val="73F76606"/>
    <w:rsid w:val="74BE5CEE"/>
    <w:rsid w:val="75C46B00"/>
    <w:rsid w:val="75F518DF"/>
    <w:rsid w:val="770E364D"/>
    <w:rsid w:val="78556B74"/>
    <w:rsid w:val="7AEC1EAA"/>
    <w:rsid w:val="7C0A4532"/>
    <w:rsid w:val="7D3B00B0"/>
    <w:rsid w:val="7D53385B"/>
    <w:rsid w:val="7D86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8F3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8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578F3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  <w:style w:type="table" w:styleId="a7">
    <w:name w:val="Table Grid"/>
    <w:basedOn w:val="a1"/>
    <w:qFormat/>
    <w:rsid w:val="002578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578F3"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2578F3"/>
    <w:rPr>
      <w:rFonts w:eastAsiaTheme="minorHAnsi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sid w:val="002578F3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892</Words>
  <Characters>5089</Characters>
  <Application>Microsoft Office Word</Application>
  <DocSecurity>0</DocSecurity>
  <Lines>42</Lines>
  <Paragraphs>11</Paragraphs>
  <ScaleCrop>false</ScaleCrop>
  <Company>微软中国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汇编.doc</dc:title>
  <dc:creator>lenovo</dc:creator>
  <cp:lastModifiedBy>Administrator</cp:lastModifiedBy>
  <cp:revision>61</cp:revision>
  <dcterms:created xsi:type="dcterms:W3CDTF">2017-08-23T09:01:00Z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2017-08-23T00:00:00Z</vt:filetime>
  </property>
  <property fmtid="{D5CDD505-2E9C-101B-9397-08002B2CF9AE}" pid="4" name="KSOProductBuildVer">
    <vt:lpwstr>2052-11.1.0.8214</vt:lpwstr>
  </property>
</Properties>
</file>